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sz w:val="36"/>
          <w:szCs w:val="36"/>
        </w:rPr>
      </w:pPr>
    </w:p>
    <w:p>
      <w:pPr>
        <w:spacing w:line="560" w:lineRule="exact"/>
        <w:jc w:val="center"/>
        <w:rPr>
          <w:rFonts w:ascii="方正小标宋简体" w:hAnsi="方正小标宋简体" w:eastAsia="方正小标宋简体" w:cs="方正小标宋简体"/>
          <w:sz w:val="36"/>
          <w:szCs w:val="36"/>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伽师</w:t>
      </w:r>
      <w:r>
        <w:rPr>
          <w:rFonts w:hint="eastAsia" w:ascii="方正小标宋简体" w:hAnsi="方正小标宋简体" w:eastAsia="方正小标宋简体" w:cs="方正小标宋简体"/>
          <w:sz w:val="36"/>
          <w:szCs w:val="36"/>
        </w:rPr>
        <w:t>县</w:t>
      </w:r>
      <w:r>
        <w:rPr>
          <w:rFonts w:hint="eastAsia" w:ascii="方正小标宋简体" w:hAnsi="方正小标宋简体" w:eastAsia="方正小标宋简体" w:cs="方正小标宋简体"/>
          <w:sz w:val="36"/>
          <w:szCs w:val="36"/>
          <w:u w:val="single"/>
          <w:lang w:eastAsia="zh-CN"/>
        </w:rPr>
        <w:t>雨露计划</w:t>
      </w:r>
      <w:r>
        <w:rPr>
          <w:rFonts w:hint="eastAsia" w:ascii="方正小标宋简体" w:hAnsi="方正小标宋简体" w:eastAsia="方正小标宋简体" w:cs="方正小标宋简体"/>
          <w:sz w:val="36"/>
          <w:szCs w:val="36"/>
        </w:rPr>
        <w:t>政策公告</w:t>
      </w:r>
    </w:p>
    <w:p>
      <w:pPr>
        <w:spacing w:line="540" w:lineRule="exact"/>
        <w:rPr>
          <w:rFonts w:ascii="仿宋_GB2312" w:hAnsi="仿宋_GB2312" w:eastAsia="仿宋_GB2312" w:cs="仿宋_GB2312"/>
          <w:sz w:val="32"/>
          <w:szCs w:val="32"/>
        </w:rPr>
      </w:pP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u w:val="single"/>
        </w:rPr>
        <w:t>雨露计划</w:t>
      </w:r>
      <w:r>
        <w:rPr>
          <w:rFonts w:hint="eastAsia" w:ascii="仿宋_GB2312" w:hAnsi="仿宋_GB2312" w:eastAsia="仿宋_GB2312" w:cs="仿宋_GB2312"/>
          <w:sz w:val="32"/>
          <w:szCs w:val="32"/>
        </w:rPr>
        <w:t>公告如下。</w:t>
      </w:r>
    </w:p>
    <w:p>
      <w:pPr>
        <w:pStyle w:val="9"/>
        <w:numPr>
          <w:ilvl w:val="0"/>
          <w:numId w:val="1"/>
        </w:numPr>
        <w:spacing w:line="540" w:lineRule="exact"/>
        <w:ind w:firstLineChars="0"/>
        <w:jc w:val="left"/>
        <w:rPr>
          <w:rFonts w:ascii="黑体" w:hAnsi="黑体" w:eastAsia="黑体" w:cs="仿宋_GB2312"/>
          <w:sz w:val="32"/>
          <w:szCs w:val="32"/>
        </w:rPr>
      </w:pPr>
      <w:r>
        <w:rPr>
          <w:rFonts w:hint="eastAsia" w:ascii="黑体" w:hAnsi="黑体" w:eastAsia="黑体" w:cs="仿宋_GB2312"/>
          <w:sz w:val="32"/>
          <w:szCs w:val="32"/>
        </w:rPr>
        <w:t>政策依据</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《国务院扶贫办 教育部 人力资源社会保障部关于加强雨露计划支持农村贫困家庭新成长劳动力接受职业教育的意见》《中央财政衔接推进乡村振兴补助资金管理办法》</w:t>
      </w:r>
      <w:r>
        <w:rPr>
          <w:rFonts w:hint="eastAsia" w:ascii="仿宋_GB2312" w:hAnsi="仿宋_GB2312" w:eastAsia="仿宋_GB2312" w:cs="仿宋_GB2312"/>
          <w:sz w:val="32"/>
          <w:szCs w:val="32"/>
          <w:lang w:eastAsia="zh-CN"/>
        </w:rPr>
        <w:t>；国开办发〔2015〕19号，财农〔2021〕19号。</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二、补助对象</w:t>
      </w:r>
    </w:p>
    <w:p>
      <w:pPr>
        <w:pStyle w:val="9"/>
        <w:numPr>
          <w:ilvl w:val="0"/>
          <w:numId w:val="0"/>
        </w:numPr>
        <w:spacing w:line="540" w:lineRule="exact"/>
        <w:ind w:firstLine="640" w:firstLineChars="200"/>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农村建档立卡脱贫户、监测帮扶对象家庭中接受中、高等职业教育的子女</w:t>
      </w:r>
      <w:r>
        <w:rPr>
          <w:rFonts w:hint="eastAsia" w:ascii="仿宋_GB2312" w:hAnsi="Times New Roman" w:eastAsia="仿宋_GB2312" w:cs="仿宋_GB2312"/>
          <w:sz w:val="32"/>
          <w:szCs w:val="32"/>
          <w:lang w:eastAsia="zh-CN"/>
        </w:rPr>
        <w:t>。</w:t>
      </w:r>
    </w:p>
    <w:p>
      <w:pPr>
        <w:pStyle w:val="9"/>
        <w:numPr>
          <w:ilvl w:val="0"/>
          <w:numId w:val="0"/>
        </w:num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补助标准</w:t>
      </w:r>
    </w:p>
    <w:p>
      <w:pPr>
        <w:spacing w:line="540" w:lineRule="exact"/>
        <w:ind w:firstLine="630"/>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中高职学生每人每年3000元</w:t>
      </w:r>
      <w:r>
        <w:rPr>
          <w:rFonts w:hint="eastAsia" w:ascii="仿宋_GB2312" w:hAnsi="Times New Roman" w:eastAsia="仿宋_GB2312" w:cs="仿宋_GB2312"/>
          <w:sz w:val="32"/>
          <w:szCs w:val="32"/>
          <w:lang w:eastAsia="zh-CN"/>
        </w:rPr>
        <w:t>整。</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四</w:t>
      </w:r>
      <w:r>
        <w:rPr>
          <w:rFonts w:hint="eastAsia" w:ascii="黑体" w:hAnsi="黑体" w:eastAsia="黑体" w:cs="仿宋_GB2312"/>
          <w:sz w:val="32"/>
          <w:szCs w:val="32"/>
        </w:rPr>
        <w:t>、发放方式</w:t>
      </w:r>
    </w:p>
    <w:p>
      <w:pPr>
        <w:keepNext w:val="0"/>
        <w:keepLines w:val="0"/>
        <w:pageBreakBefore w:val="0"/>
        <w:widowControl w:val="0"/>
        <w:kinsoku/>
        <w:wordWrap/>
        <w:overflowPunct/>
        <w:topLinePunct w:val="0"/>
        <w:autoSpaceDE/>
        <w:autoSpaceDN/>
        <w:bidi w:val="0"/>
        <w:adjustRightInd/>
        <w:snapToGrid/>
        <w:spacing w:line="576" w:lineRule="exact"/>
        <w:ind w:left="0" w:firstLine="616" w:firstLineChars="200"/>
        <w:textAlignment w:val="auto"/>
        <w:rPr>
          <w:rFonts w:hint="eastAsia" w:ascii="仿宋" w:hAnsi="仿宋" w:eastAsia="仿宋" w:cs="仿宋"/>
          <w:spacing w:val="-6"/>
          <w:sz w:val="32"/>
          <w:szCs w:val="32"/>
          <w:highlight w:val="none"/>
        </w:rPr>
      </w:pPr>
      <w:r>
        <w:rPr>
          <w:rFonts w:hint="eastAsia" w:ascii="仿宋" w:hAnsi="仿宋" w:eastAsia="仿宋" w:cs="仿宋"/>
          <w:spacing w:val="-6"/>
          <w:sz w:val="32"/>
          <w:szCs w:val="32"/>
          <w:highlight w:val="none"/>
          <w:lang w:eastAsia="zh-CN"/>
        </w:rPr>
        <w:t>“一卡通”</w:t>
      </w:r>
      <w:r>
        <w:rPr>
          <w:rFonts w:hint="eastAsia" w:ascii="仿宋" w:hAnsi="仿宋" w:eastAsia="仿宋" w:cs="仿宋"/>
          <w:spacing w:val="-6"/>
          <w:sz w:val="32"/>
          <w:szCs w:val="32"/>
          <w:highlight w:val="none"/>
        </w:rPr>
        <w:t>发放</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五</w:t>
      </w:r>
      <w:r>
        <w:rPr>
          <w:rFonts w:hint="eastAsia" w:ascii="黑体" w:hAnsi="黑体" w:eastAsia="黑体" w:cs="仿宋_GB2312"/>
          <w:sz w:val="32"/>
          <w:szCs w:val="32"/>
        </w:rPr>
        <w:t>、发放时限</w:t>
      </w:r>
    </w:p>
    <w:p>
      <w:pPr>
        <w:spacing w:line="54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每年一次</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六</w:t>
      </w:r>
      <w:r>
        <w:rPr>
          <w:rFonts w:hint="eastAsia" w:ascii="黑体" w:hAnsi="黑体" w:eastAsia="黑体" w:cs="仿宋_GB2312"/>
          <w:sz w:val="32"/>
          <w:szCs w:val="32"/>
        </w:rPr>
        <w:t>、政策咨询和监督投诉</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群众如对</w:t>
      </w:r>
      <w:r>
        <w:rPr>
          <w:rFonts w:hint="eastAsia" w:ascii="仿宋_GB2312" w:hAnsi="仿宋_GB2312" w:eastAsia="仿宋_GB2312" w:cs="仿宋_GB2312"/>
          <w:sz w:val="32"/>
          <w:szCs w:val="32"/>
          <w:u w:val="single"/>
        </w:rPr>
        <w:t>雨露计划</w:t>
      </w:r>
      <w:r>
        <w:rPr>
          <w:rFonts w:hint="eastAsia" w:ascii="仿宋_GB2312" w:hAnsi="仿宋_GB2312" w:eastAsia="仿宋_GB2312" w:cs="仿宋_GB2312"/>
          <w:sz w:val="32"/>
          <w:szCs w:val="32"/>
        </w:rPr>
        <w:t>发放工作有意见建议的，可拨打以下电话。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p>
    <w:p>
      <w:pPr>
        <w:spacing w:line="540" w:lineRule="exact"/>
        <w:ind w:firstLine="630"/>
        <w:rPr>
          <w:rFonts w:hint="eastAsia" w:ascii="仿宋_GB2312" w:hAnsi="仿宋_GB2312" w:eastAsia="仿宋_GB2312" w:cs="仿宋_GB2312"/>
          <w:sz w:val="32"/>
          <w:szCs w:val="32"/>
          <w:lang w:val="en-US" w:eastAsia="zh-CN"/>
        </w:rPr>
      </w:pPr>
      <w:bookmarkStart w:id="1" w:name="_GoBack"/>
      <w:r>
        <w:rPr>
          <w:rFonts w:hint="eastAsia" w:ascii="仿宋_GB2312" w:hAnsi="仿宋_GB2312" w:eastAsia="仿宋_GB2312" w:cs="仿宋_GB2312"/>
          <w:sz w:val="32"/>
          <w:szCs w:val="32"/>
          <w:lang w:val="en-US" w:eastAsia="zh-CN"/>
        </w:rPr>
        <w:t>1.伽师</w:t>
      </w:r>
      <w:r>
        <w:rPr>
          <w:rFonts w:hint="eastAsia" w:ascii="仿宋_GB2312" w:hAnsi="仿宋_GB2312" w:eastAsia="仿宋_GB2312" w:cs="仿宋_GB2312"/>
          <w:sz w:val="32"/>
          <w:szCs w:val="32"/>
        </w:rPr>
        <w:t>县财政局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0998-5713220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 w:hAnsi="仿宋" w:eastAsia="仿宋" w:cs="仿宋"/>
          <w:b w:val="0"/>
          <w:bCs w:val="0"/>
          <w:sz w:val="32"/>
          <w:szCs w:val="32"/>
          <w:lang w:eastAsia="zh-CN"/>
        </w:rPr>
        <w:t>伽师县教育局</w:t>
      </w:r>
      <w:r>
        <w:rPr>
          <w:rFonts w:hint="eastAsia" w:ascii="仿宋" w:hAnsi="仿宋" w:eastAsia="仿宋" w:cs="仿宋"/>
          <w:b w:val="0"/>
          <w:bCs w:val="0"/>
          <w:sz w:val="32"/>
          <w:szCs w:val="32"/>
          <w:lang w:val="en-US" w:eastAsia="zh-CN"/>
        </w:rPr>
        <w:t>：13899181014</w:t>
      </w:r>
    </w:p>
    <w:p>
      <w:pPr>
        <w:spacing w:line="540" w:lineRule="exact"/>
        <w:ind w:firstLine="63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伽师县</w:t>
      </w:r>
      <w:r>
        <w:rPr>
          <w:rFonts w:hint="eastAsia" w:ascii="仿宋_GB2312" w:hAnsi="仿宋_GB2312" w:eastAsia="仿宋_GB2312" w:cs="仿宋_GB2312"/>
          <w:sz w:val="32"/>
          <w:szCs w:val="32"/>
        </w:rPr>
        <w:t>农村信用</w:t>
      </w:r>
      <w:r>
        <w:rPr>
          <w:rFonts w:hint="eastAsia" w:ascii="仿宋_GB2312" w:hAnsi="仿宋_GB2312" w:eastAsia="仿宋_GB2312" w:cs="仿宋_GB2312"/>
          <w:sz w:val="32"/>
          <w:szCs w:val="32"/>
          <w:lang w:eastAsia="zh-CN"/>
        </w:rPr>
        <w:t>合作联</w:t>
      </w:r>
      <w:r>
        <w:rPr>
          <w:rFonts w:hint="eastAsia" w:ascii="仿宋_GB2312" w:hAnsi="仿宋_GB2312" w:eastAsia="仿宋_GB2312" w:cs="仿宋_GB2312"/>
          <w:sz w:val="32"/>
          <w:szCs w:val="32"/>
        </w:rPr>
        <w:t>社</w:t>
      </w:r>
      <w:bookmarkStart w:id="0" w:name="OLE_LINK1"/>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0998-6723301</w:t>
      </w:r>
      <w:bookmarkEnd w:id="1"/>
    </w:p>
    <w:bookmarkEnd w:id="0"/>
    <w:p>
      <w:pPr>
        <w:spacing w:line="540" w:lineRule="exact"/>
        <w:ind w:firstLine="4640" w:firstLineChars="1450"/>
        <w:jc w:val="left"/>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yellow"/>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color w:val="auto"/>
          <w:sz w:val="32"/>
          <w:szCs w:val="32"/>
          <w:highlight w:val="none"/>
          <w:lang w:eastAsia="zh-CN"/>
        </w:rPr>
        <w:t>伽师县教育局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 xml:space="preserve">年 </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 xml:space="preserve">月 </w:t>
      </w:r>
      <w:r>
        <w:rPr>
          <w:rFonts w:hint="eastAsia" w:ascii="仿宋" w:hAnsi="仿宋" w:eastAsia="仿宋" w:cs="仿宋"/>
          <w:b w:val="0"/>
          <w:bCs w:val="0"/>
          <w:sz w:val="32"/>
          <w:szCs w:val="32"/>
          <w:lang w:val="en-US" w:eastAsia="zh-CN"/>
        </w:rPr>
        <w:t>14</w:t>
      </w:r>
      <w:r>
        <w:rPr>
          <w:rFonts w:hint="eastAsia" w:ascii="仿宋" w:hAnsi="仿宋" w:eastAsia="仿宋" w:cs="仿宋"/>
          <w:b w:val="0"/>
          <w:bCs w:val="0"/>
          <w:sz w:val="32"/>
          <w:szCs w:val="32"/>
        </w:rPr>
        <w:t>日</w:t>
      </w:r>
    </w:p>
    <w:p>
      <w:pPr>
        <w:spacing w:line="540" w:lineRule="exact"/>
        <w:ind w:firstLine="3780" w:firstLineChars="1800"/>
        <w:jc w:val="left"/>
        <w:rPr>
          <w:rFonts w:ascii="仿宋_GB2312" w:eastAsia="仿宋_GB2312"/>
        </w:rPr>
      </w:pP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Liberation Serif">
    <w:altName w:val="UKIJ Tuz Kitab"/>
    <w:panose1 w:val="02020603050405020304"/>
    <w:charset w:val="00"/>
    <w:family w:val="auto"/>
    <w:pitch w:val="default"/>
    <w:sig w:usb0="00000000" w:usb1="00000000" w:usb2="00000000" w:usb3="00000000" w:csb0="6000009F" w:csb1="DFD70000"/>
  </w:font>
  <w:font w:name="Segoe Print">
    <w:panose1 w:val="02000600000000000000"/>
    <w:charset w:val="00"/>
    <w:family w:val="auto"/>
    <w:pitch w:val="default"/>
    <w:sig w:usb0="0000028F" w:usb1="00000000" w:usb2="00000000" w:usb3="00000000" w:csb0="2000009F" w:csb1="47010000"/>
  </w:font>
  <w:font w:name="UKIJ Tuz Kitab">
    <w:panose1 w:val="02020603050405020304"/>
    <w:charset w:val="00"/>
    <w:family w:val="auto"/>
    <w:pitch w:val="default"/>
    <w:sig w:usb0="A00063BF" w:usb1="D001E4FB" w:usb2="0000000A"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9001356">
    <w:nsid w:val="5D850F8C"/>
    <w:multiLevelType w:val="multilevel"/>
    <w:tmpl w:val="5D850F8C"/>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5690013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85"/>
    <w:rsid w:val="000A6F8D"/>
    <w:rsid w:val="001A5016"/>
    <w:rsid w:val="002829E4"/>
    <w:rsid w:val="0029591D"/>
    <w:rsid w:val="002B1AF2"/>
    <w:rsid w:val="002E0692"/>
    <w:rsid w:val="00391933"/>
    <w:rsid w:val="00451DB6"/>
    <w:rsid w:val="00510081"/>
    <w:rsid w:val="00552FF0"/>
    <w:rsid w:val="0058266B"/>
    <w:rsid w:val="0062081E"/>
    <w:rsid w:val="006420A1"/>
    <w:rsid w:val="007322C0"/>
    <w:rsid w:val="00734BFA"/>
    <w:rsid w:val="008741E1"/>
    <w:rsid w:val="009E7248"/>
    <w:rsid w:val="00AE069C"/>
    <w:rsid w:val="00B36DA1"/>
    <w:rsid w:val="00C26185"/>
    <w:rsid w:val="00C52CB1"/>
    <w:rsid w:val="00C7385E"/>
    <w:rsid w:val="00D26593"/>
    <w:rsid w:val="00DE45D6"/>
    <w:rsid w:val="00E572CB"/>
    <w:rsid w:val="00E91445"/>
    <w:rsid w:val="00FA57E1"/>
    <w:rsid w:val="03F930D9"/>
    <w:rsid w:val="05C76028"/>
    <w:rsid w:val="104C0101"/>
    <w:rsid w:val="14FC6A64"/>
    <w:rsid w:val="15204456"/>
    <w:rsid w:val="18BA2F56"/>
    <w:rsid w:val="221E5B18"/>
    <w:rsid w:val="242B74C3"/>
    <w:rsid w:val="2CC02FFE"/>
    <w:rsid w:val="375012BD"/>
    <w:rsid w:val="4E4176DB"/>
    <w:rsid w:val="4E92791D"/>
    <w:rsid w:val="504C3866"/>
    <w:rsid w:val="56FB1B5C"/>
    <w:rsid w:val="58587255"/>
    <w:rsid w:val="5F47241D"/>
    <w:rsid w:val="76807E0D"/>
    <w:rsid w:val="78C17091"/>
    <w:rsid w:val="7AB04A3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ScaleCrop>false</ScaleCrop>
  <LinksUpToDate>false</LinksUpToDate>
  <CharactersWithSpaces>848</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cp:lastModifiedBy>
  <cp:lastPrinted>2024-05-13T05:10:00Z</cp:lastPrinted>
  <dcterms:modified xsi:type="dcterms:W3CDTF">2024-05-14T04:20:01Z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