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伽师县工业园区2022年电费项目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伽师县工业园区管理委员会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伽师工业园区管理委员会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唐志强</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2024年03月28日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伽师工业园区第十四个五年规划纲要》相关政策文件与规定，旨在评价伽师县工业园区2022年电费项目实施前期、过程及效果，评价财政预算资金使用的效率及效益。通过该项目的实施，可为工业园区众多企业、单位、个人正常工作、生产、生活提供服务和保障。</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建设主要服务于伽师县工业园区内的企业、单位和个人，为其提供正常的生活和工作用电，截止2023年1月30日支付给国网新疆电力有限公司120万元电费，园区2个集团户31个电表，分别给管委会、产业园、隔离点、污水提升泵站、消杀中心及绿化机电井等设施供电，为工业园区众多企业、单位、个人正常工作、生产、生活提供服务和保障。</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伽师工业园区管理委员会为全额事业单位，纳入2023年部门决算编制范围的有5个办公室：综合（党建）办公室、财务中心、政务服务中心、招商发展中心、就业服务中心。</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编制人数15人，其中：事业编制15人。实有在职人数17人，其中：行政在职3人、事业在职14人。离退休人员2人，其中：行政退休人员2人。</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根据《关于申请解决冬季供热电费资金的报告》文件共安排下达资金120</w:t>
      </w:r>
      <w:r>
        <w:rPr>
          <w:rStyle w:val="17"/>
          <w:rFonts w:hint="eastAsia" w:ascii="仿宋" w:hAnsi="仿宋" w:eastAsia="仿宋" w:cs="仿宋"/>
          <w:b w:val="0"/>
          <w:bCs w:val="0"/>
          <w:spacing w:val="-4"/>
          <w:sz w:val="32"/>
          <w:szCs w:val="32"/>
          <w:lang w:eastAsia="zh-CN"/>
        </w:rPr>
        <w:t>万</w:t>
      </w:r>
      <w:r>
        <w:rPr>
          <w:rStyle w:val="17"/>
          <w:rFonts w:hint="eastAsia" w:ascii="仿宋" w:hAnsi="仿宋" w:eastAsia="仿宋" w:cs="仿宋"/>
          <w:b w:val="0"/>
          <w:bCs w:val="0"/>
          <w:spacing w:val="-4"/>
          <w:sz w:val="32"/>
          <w:szCs w:val="32"/>
        </w:rPr>
        <w:t>元，为一般公共预算资金，最终确定项目资金总数为120万元。</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截至2023年12月31日，实际支出120</w:t>
      </w:r>
      <w:r>
        <w:rPr>
          <w:rStyle w:val="17"/>
          <w:rFonts w:hint="eastAsia" w:ascii="仿宋" w:hAnsi="仿宋" w:eastAsia="仿宋" w:cs="仿宋"/>
          <w:b w:val="0"/>
          <w:bCs w:val="0"/>
          <w:spacing w:val="-4"/>
          <w:sz w:val="32"/>
          <w:szCs w:val="32"/>
          <w:lang w:eastAsia="zh-CN"/>
        </w:rPr>
        <w:t>万</w:t>
      </w:r>
      <w:r>
        <w:rPr>
          <w:rStyle w:val="17"/>
          <w:rFonts w:hint="eastAsia" w:ascii="仿宋" w:hAnsi="仿宋" w:eastAsia="仿宋" w:cs="仿宋"/>
          <w:b w:val="0"/>
          <w:bCs w:val="0"/>
          <w:spacing w:val="-4"/>
          <w:sz w:val="32"/>
          <w:szCs w:val="32"/>
        </w:rPr>
        <w:t>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此项目申请资金120万，预算来源为一般公共预算资金，用于支付给国网新疆电力公司伽师县工业园区2个集团户（31个电表），分别为伽师工业园区管理委员会、产业园、隔离点、污水提升泵站、消杀中心以及绿化机井等设施供电。同时园区进入冬季供暖，三个空气源供热点总供热面积约为13.5万平（主要为管委会、产业园、消防大队、隔离点、消杀中心、人民医院分院、技工学校、幼儿园等），通过该项目实施可以有效为伽师工业园区管委会提供工作用电和冬季供暖服务，为产业园、消防大队、隔离点、消杀中心、人民医院分院、技工学校、幼儿园等提供冬季供暖服务，保障园区工作生活的正常运转，提高园区工作生活人员满意度。</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实施的前期准备工作：制定实施方案和项目成本概算表、审批资金申请报告、确定项目人责任和实施人员。</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具体实施工作：根据资金申请报告下达的资金，项目实施人员按程序要求，支付给国网新疆电力公司120万元，购买对应数量的电。</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验收阶段的具体工作：核实购电数量，将项目资料进行归档，项目完成后可以有效为伽师工业园区管委会提供工作用电和冬季供暖服务，为产业园、消防大队、隔离点、消杀中心、人民医院分院、技工学校、幼儿园等提供冬季供暖服务，保障园区工作生活的正常运转，提高园区工作生活人员满意度。</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工业园区2022年电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一级指标为：决策、过程、产出、效益。</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Style w:val="17"/>
          <w:rFonts w:hint="eastAsia" w:ascii="仿宋" w:hAnsi="仿宋" w:eastAsia="仿宋" w:cs="仿宋"/>
          <w:b w:val="0"/>
          <w:bCs w:val="0"/>
          <w:spacing w:val="-4"/>
          <w:sz w:val="32"/>
          <w:szCs w:val="32"/>
        </w:rPr>
        <w:tab/>
        <w:t>分析在产出一定的情况下，成本取值是否有依据，是否经过询价，是否按照市场最低成本编制。⑥资金分配合理性：因素分析法，综合分析资金的分配依据是否充分，分配金额是否与项目实施单位需求金额一致。</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项目产出：比较法，将实际完成值与年初指标值相比，完成指标值</w:t>
      </w:r>
      <w:r>
        <w:rPr>
          <w:rStyle w:val="17"/>
          <w:rFonts w:hint="eastAsia" w:ascii="仿宋" w:hAnsi="仿宋" w:eastAsia="仿宋" w:cs="仿宋"/>
          <w:b w:val="0"/>
          <w:bCs w:val="0"/>
          <w:spacing w:val="-4"/>
          <w:sz w:val="32"/>
          <w:szCs w:val="32"/>
          <w:lang w:eastAsia="zh-CN"/>
        </w:rPr>
        <w:t>：</w:t>
      </w:r>
      <w:r>
        <w:rPr>
          <w:rStyle w:val="17"/>
          <w:rFonts w:hint="eastAsia" w:ascii="仿宋" w:hAnsi="仿宋" w:eastAsia="仿宋" w:cs="仿宋"/>
          <w:b w:val="0"/>
          <w:bCs w:val="0"/>
          <w:spacing w:val="-4"/>
          <w:sz w:val="32"/>
          <w:szCs w:val="32"/>
        </w:rPr>
        <w:t>该指标赋全部分值；对完成值高于指标值较多的，要分析原因，如果是由于年初指标值设定明显偏低造成的，要按照偏离度适度调减分值；未完成指标值的，按照完成值与指标值的比例计分。公众评判法。</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第一阶段：前期准备（2024年3月1日）</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唐志强任评价组组长，绩效评价工作职责为负责全盘工作。</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祝磅任评价组副组长，绩效评价工作职责为对项目实施情况进行实地调查。</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玉财任评价组成员，绩效评价工作职责为负责资料审核等工作。</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第二阶段：组织实施（2024年3月1日-3月9日）</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第三阶段：分析评价（2024年3月10日-3月14日）</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第四阶段：撰写与提交评价报告（2024年3月15日-3月20日）</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通过实施伽师县工业园区2022年电费项目可为工业园区众多企业、单位、个人正常工作、生产、生活提供服务和保障。项目实施主要通过项目决策、项目过程、项目产出以及项目效益等方面进行评价，其中：</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项目决策：该项目主要通过《关于申请解决冬季供热电费资金的报告》立项，项目实施符合文件要求，项目立项依据充分，立项程序规范。</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项目过程：该项目预算安排 120万元，实际支出120万元，预算执行率100%。项目资金使用合规，项目财务管理制度健全，财务监控到位，所有资金支付均按照国库集中支付制度严格执行，现有项目管理制度执行情况良好。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项目产出：该项目计划购买电量为3243244度，实际购买电量为3243244度。</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截止2023年12月31日，本项目现已完成支付120万元，全部用于支付我单位电费，通过本项目的实施，可以有效为伽师工业园区管委会提供工作用电和冬季供暖服务，为产业园、消防大队、隔离点、消杀中心、人民医院分院、技工学校、幼儿园等提供冬季供暖服务。</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伽师县工业园区2022年电费项目得分情况表</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w:t>
      </w:r>
      <w:r>
        <w:rPr>
          <w:rStyle w:val="17"/>
          <w:rFonts w:hint="eastAsia" w:ascii="仿宋" w:hAnsi="仿宋" w:eastAsia="仿宋" w:cs="仿宋"/>
          <w:b w:val="0"/>
          <w:bCs w:val="0"/>
          <w:spacing w:val="-4"/>
          <w:sz w:val="32"/>
          <w:szCs w:val="32"/>
        </w:rPr>
        <w:tab/>
        <w:t>权重</w:t>
      </w:r>
      <w:r>
        <w:rPr>
          <w:rStyle w:val="17"/>
          <w:rFonts w:hint="eastAsia" w:ascii="仿宋" w:hAnsi="仿宋" w:eastAsia="仿宋" w:cs="仿宋"/>
          <w:b w:val="0"/>
          <w:bCs w:val="0"/>
          <w:spacing w:val="-4"/>
          <w:sz w:val="32"/>
          <w:szCs w:val="32"/>
        </w:rPr>
        <w:tab/>
        <w:t>得分率</w:t>
      </w:r>
      <w:r>
        <w:rPr>
          <w:rStyle w:val="17"/>
          <w:rFonts w:hint="eastAsia" w:ascii="仿宋" w:hAnsi="仿宋" w:eastAsia="仿宋" w:cs="仿宋"/>
          <w:b w:val="0"/>
          <w:bCs w:val="0"/>
          <w:spacing w:val="-4"/>
          <w:sz w:val="32"/>
          <w:szCs w:val="32"/>
        </w:rPr>
        <w:tab/>
        <w:t>实际得分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w:t>
      </w:r>
      <w:r>
        <w:rPr>
          <w:rStyle w:val="17"/>
          <w:rFonts w:hint="eastAsia" w:ascii="仿宋" w:hAnsi="仿宋" w:eastAsia="仿宋" w:cs="仿宋"/>
          <w:b w:val="0"/>
          <w:bCs w:val="0"/>
          <w:spacing w:val="-4"/>
          <w:sz w:val="32"/>
          <w:szCs w:val="32"/>
        </w:rPr>
        <w:tab/>
        <w:t>20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20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w:t>
      </w:r>
      <w:r>
        <w:rPr>
          <w:rStyle w:val="17"/>
          <w:rFonts w:hint="eastAsia" w:ascii="仿宋" w:hAnsi="仿宋" w:eastAsia="仿宋" w:cs="仿宋"/>
          <w:b w:val="0"/>
          <w:bCs w:val="0"/>
          <w:spacing w:val="-4"/>
          <w:sz w:val="32"/>
          <w:szCs w:val="32"/>
        </w:rPr>
        <w:tab/>
        <w:t>20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20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w:t>
      </w:r>
      <w:r>
        <w:rPr>
          <w:rStyle w:val="17"/>
          <w:rFonts w:hint="eastAsia" w:ascii="仿宋" w:hAnsi="仿宋" w:eastAsia="仿宋" w:cs="仿宋"/>
          <w:b w:val="0"/>
          <w:bCs w:val="0"/>
          <w:spacing w:val="-4"/>
          <w:sz w:val="32"/>
          <w:szCs w:val="32"/>
        </w:rPr>
        <w:tab/>
        <w:t>40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40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w:t>
      </w:r>
      <w:r>
        <w:rPr>
          <w:rStyle w:val="17"/>
          <w:rFonts w:hint="eastAsia" w:ascii="仿宋" w:hAnsi="仿宋" w:eastAsia="仿宋" w:cs="仿宋"/>
          <w:b w:val="0"/>
          <w:bCs w:val="0"/>
          <w:spacing w:val="-4"/>
          <w:sz w:val="32"/>
          <w:szCs w:val="32"/>
        </w:rPr>
        <w:tab/>
        <w:t>20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20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伽师县工业园区2022年电费项目已按照计划购买电量3243244度。通过本项目的实施，已经有效为伽师工业园区管委会提供工作用电和冬季供暖服务，为产业园、消防大队、隔离点、消杀中心、人民医院分院、技工学校、幼儿园等提供冬季供暖服务，保障园区工作生活的正常运转，提高园区工作生活人员满意度。该项目最终评分100分，绩效评级为“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项目决策指标得分情况</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w:t>
      </w:r>
      <w:r>
        <w:rPr>
          <w:rStyle w:val="17"/>
          <w:rFonts w:hint="eastAsia" w:ascii="仿宋" w:hAnsi="仿宋" w:eastAsia="仿宋" w:cs="仿宋"/>
          <w:b w:val="0"/>
          <w:bCs w:val="0"/>
          <w:spacing w:val="-4"/>
          <w:sz w:val="32"/>
          <w:szCs w:val="32"/>
        </w:rPr>
        <w:tab/>
        <w:t>权重</w:t>
      </w:r>
      <w:r>
        <w:rPr>
          <w:rStyle w:val="17"/>
          <w:rFonts w:hint="eastAsia" w:ascii="仿宋" w:hAnsi="仿宋" w:eastAsia="仿宋" w:cs="仿宋"/>
          <w:b w:val="0"/>
          <w:bCs w:val="0"/>
          <w:spacing w:val="-4"/>
          <w:sz w:val="32"/>
          <w:szCs w:val="32"/>
        </w:rPr>
        <w:tab/>
        <w:t>得分率</w:t>
      </w:r>
      <w:r>
        <w:rPr>
          <w:rStyle w:val="17"/>
          <w:rFonts w:hint="eastAsia" w:ascii="仿宋" w:hAnsi="仿宋" w:eastAsia="仿宋" w:cs="仿宋"/>
          <w:b w:val="0"/>
          <w:bCs w:val="0"/>
          <w:spacing w:val="-4"/>
          <w:sz w:val="32"/>
          <w:szCs w:val="32"/>
        </w:rPr>
        <w:tab/>
        <w:t>实际得分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立项依据充分性</w:t>
      </w:r>
      <w:r>
        <w:rPr>
          <w:rStyle w:val="17"/>
          <w:rFonts w:hint="eastAsia" w:ascii="仿宋" w:hAnsi="仿宋" w:eastAsia="仿宋" w:cs="仿宋"/>
          <w:b w:val="0"/>
          <w:bCs w:val="0"/>
          <w:spacing w:val="-4"/>
          <w:sz w:val="32"/>
          <w:szCs w:val="32"/>
        </w:rPr>
        <w:tab/>
        <w:t>3</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3</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立项程序规范性</w:t>
      </w:r>
      <w:r>
        <w:rPr>
          <w:rStyle w:val="17"/>
          <w:rFonts w:hint="eastAsia" w:ascii="仿宋" w:hAnsi="仿宋" w:eastAsia="仿宋" w:cs="仿宋"/>
          <w:b w:val="0"/>
          <w:bCs w:val="0"/>
          <w:spacing w:val="-4"/>
          <w:sz w:val="32"/>
          <w:szCs w:val="32"/>
        </w:rPr>
        <w:tab/>
        <w:t>2</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2</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绩效目标合理性</w:t>
      </w:r>
      <w:r>
        <w:rPr>
          <w:rStyle w:val="17"/>
          <w:rFonts w:hint="eastAsia" w:ascii="仿宋" w:hAnsi="仿宋" w:eastAsia="仿宋" w:cs="仿宋"/>
          <w:b w:val="0"/>
          <w:bCs w:val="0"/>
          <w:spacing w:val="-4"/>
          <w:sz w:val="32"/>
          <w:szCs w:val="32"/>
        </w:rPr>
        <w:tab/>
        <w:t>3</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3</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绩效指标明确性</w:t>
      </w:r>
      <w:r>
        <w:rPr>
          <w:rStyle w:val="17"/>
          <w:rFonts w:hint="eastAsia" w:ascii="仿宋" w:hAnsi="仿宋" w:eastAsia="仿宋" w:cs="仿宋"/>
          <w:b w:val="0"/>
          <w:bCs w:val="0"/>
          <w:spacing w:val="-4"/>
          <w:sz w:val="32"/>
          <w:szCs w:val="32"/>
        </w:rPr>
        <w:tab/>
        <w:t>2</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2</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预算编制科学性</w:t>
      </w:r>
      <w:r>
        <w:rPr>
          <w:rStyle w:val="17"/>
          <w:rFonts w:hint="eastAsia" w:ascii="仿宋" w:hAnsi="仿宋" w:eastAsia="仿宋" w:cs="仿宋"/>
          <w:b w:val="0"/>
          <w:bCs w:val="0"/>
          <w:spacing w:val="-4"/>
          <w:sz w:val="32"/>
          <w:szCs w:val="32"/>
        </w:rPr>
        <w:tab/>
        <w:t>5</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5</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资金分配合理性</w:t>
      </w:r>
      <w:r>
        <w:rPr>
          <w:rStyle w:val="17"/>
          <w:rFonts w:hint="eastAsia" w:ascii="仿宋" w:hAnsi="仿宋" w:eastAsia="仿宋" w:cs="仿宋"/>
          <w:b w:val="0"/>
          <w:bCs w:val="0"/>
          <w:spacing w:val="-4"/>
          <w:sz w:val="32"/>
          <w:szCs w:val="32"/>
        </w:rPr>
        <w:tab/>
        <w:t>5</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5</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w:t>
      </w:r>
      <w:r>
        <w:rPr>
          <w:rStyle w:val="17"/>
          <w:rFonts w:hint="eastAsia" w:ascii="仿宋" w:hAnsi="仿宋" w:eastAsia="仿宋" w:cs="仿宋"/>
          <w:b w:val="0"/>
          <w:bCs w:val="0"/>
          <w:spacing w:val="-4"/>
          <w:sz w:val="32"/>
          <w:szCs w:val="32"/>
        </w:rPr>
        <w:tab/>
        <w:t>20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20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结合《关于印发伽师工业园区管理委员会&lt;中共伽师工业园区工作委员会&gt;职能配置、内设机构和人员编制规定》的通知第四条负责园区公共事务管理的职责，并组织实施。并围绕2023年度工作重点和工作计划制定经费预算。</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项目立项是根据《中共中央关于制定国民经济和社会发展第十四个五年规划和二〇三五年远景目标的建议》文件第六条中的民生福祉达到新水平。故本项目立项符合国家法律法规、国民经济发展规划和相关政策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②项目立项是根据《伽师工业园区第十四个五年规划纲要》文件第九章保障和改善民生，增强人民群众福祉。故本项目立项符合行业发展规划和政策要求得0.5分。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③项目立项是根据《伽师工业园区管理委员会三定方案》第四条负责园区公共事务管理的职责，故项目立项与部门职责范围相符，属于部门履职所需得0.5分。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④项目属于公共财政支持范围，符合中央、地方事权支出责任划分原则得0.5分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⑤项目与相关部门同类项目或部门内部相关项目不重复，得0.5分。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综上，该指标满分为3分，根据评分标准得3分。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①项目根据决策依据编制工作计划和经费预算，经过与单位主管领导、县分管领导进行沟通、筛选确定经费预算计划，上党委会研究确定最终预算方案，严格按照规定的程序申请设立，得1分。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②项目的审批文件及材料有《关于申请解决冬季供热电费资金的报告》、《伽师工业园区2022年电费项目实施方案》等。</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符合相关要求，得0.5分。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③事前已经过必要的可行性研究、专家论证、风险评估、绩效评估、集体决策，文件及材料有《伽师工业园区2022年电费项目实施方案》《会议纪要》得0.5分。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综上，该指标满分为2分，根据评分标准得2分。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①项目严格按照《2023年自治区分行业分领域绩效指标体系》、《伽师县工业园区2022年电费项目实施方案》设置了《项目支出绩效目标表》得0.5分。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②项目绩效目标中设立了用电数量等核心指标内容，与本项目实际工作内容相关，得1分；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③项目预期产出效益和效果是符合正常的业绩水平得0.5分。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经查证《项目支出绩效目标表》、《关于申请解决冬季供热电费资金的报告》等相关资料，本项目预算确定金额、预算批复的项目投资额都为120万元，故绩效目标金额与预算确定的项目投资额或资金量相匹配，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综上，该指标满分3分，根据评分标准得3分。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①本项目已将项目绩效目标细化分解为具体的绩效指标，得0.5分。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②本项目绩效目标通过清晰、可衡量的指标值予以体现，得1分。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③本项目与项目目标任务数及计划数相对应，得0.5分。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综上，该指标满分2分，根据评分标准得2分。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①根据《伽师县工业园区2022年电费项目成本概算表》，本项目预算编制经过科学论证，得1分。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②根据《关于申请解决冬季供热电费资金的报告》、《伽师县工业园区2022年电费项目实施方案》，本项目预算内容与项目内容匹配，得1分。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③本项目的预算额度测算依据充分，严格按照标准编制，得1分。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④本项目预算确定的项目投资额及资金量与工作任务相匹配，得2分。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综上，该指标满分5分，根据评分标准得5分。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①本项目以《关于申请解决冬季供热电费资金的报告》文件为依据进行资金分配，预算资金分配依据充分，得2.5分。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②根据本项目《伽师县工业园区2022年电费项目实施方案》资金分配额度合理，与我单位实际情况相适应，得2.5分。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项目过程指标得分情况</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w:t>
      </w:r>
      <w:r>
        <w:rPr>
          <w:rStyle w:val="17"/>
          <w:rFonts w:hint="eastAsia" w:ascii="仿宋" w:hAnsi="仿宋" w:eastAsia="仿宋" w:cs="仿宋"/>
          <w:b w:val="0"/>
          <w:bCs w:val="0"/>
          <w:spacing w:val="-4"/>
          <w:sz w:val="32"/>
          <w:szCs w:val="32"/>
        </w:rPr>
        <w:tab/>
        <w:t>权重</w:t>
      </w:r>
      <w:r>
        <w:rPr>
          <w:rStyle w:val="17"/>
          <w:rFonts w:hint="eastAsia" w:ascii="仿宋" w:hAnsi="仿宋" w:eastAsia="仿宋" w:cs="仿宋"/>
          <w:b w:val="0"/>
          <w:bCs w:val="0"/>
          <w:spacing w:val="-4"/>
          <w:sz w:val="32"/>
          <w:szCs w:val="32"/>
        </w:rPr>
        <w:tab/>
        <w:t>得分率</w:t>
      </w:r>
      <w:r>
        <w:rPr>
          <w:rStyle w:val="17"/>
          <w:rFonts w:hint="eastAsia" w:ascii="仿宋" w:hAnsi="仿宋" w:eastAsia="仿宋" w:cs="仿宋"/>
          <w:b w:val="0"/>
          <w:bCs w:val="0"/>
          <w:spacing w:val="-4"/>
          <w:sz w:val="32"/>
          <w:szCs w:val="32"/>
        </w:rPr>
        <w:tab/>
        <w:t>实际得分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资金到位率</w:t>
      </w:r>
      <w:r>
        <w:rPr>
          <w:rStyle w:val="17"/>
          <w:rFonts w:hint="eastAsia" w:ascii="仿宋" w:hAnsi="仿宋" w:eastAsia="仿宋" w:cs="仿宋"/>
          <w:b w:val="0"/>
          <w:bCs w:val="0"/>
          <w:spacing w:val="-4"/>
          <w:sz w:val="32"/>
          <w:szCs w:val="32"/>
        </w:rPr>
        <w:tab/>
        <w:t>5</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5</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预算执行率</w:t>
      </w:r>
      <w:r>
        <w:rPr>
          <w:rStyle w:val="17"/>
          <w:rFonts w:hint="eastAsia" w:ascii="仿宋" w:hAnsi="仿宋" w:eastAsia="仿宋" w:cs="仿宋"/>
          <w:b w:val="0"/>
          <w:bCs w:val="0"/>
          <w:spacing w:val="-4"/>
          <w:sz w:val="32"/>
          <w:szCs w:val="32"/>
        </w:rPr>
        <w:tab/>
        <w:t>5</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5</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资金使用合规性</w:t>
      </w:r>
      <w:r>
        <w:rPr>
          <w:rStyle w:val="17"/>
          <w:rFonts w:hint="eastAsia" w:ascii="仿宋" w:hAnsi="仿宋" w:eastAsia="仿宋" w:cs="仿宋"/>
          <w:b w:val="0"/>
          <w:bCs w:val="0"/>
          <w:spacing w:val="-4"/>
          <w:sz w:val="32"/>
          <w:szCs w:val="32"/>
        </w:rPr>
        <w:tab/>
        <w:t>5</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5</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管理制度健全性</w:t>
      </w:r>
      <w:r>
        <w:rPr>
          <w:rStyle w:val="17"/>
          <w:rFonts w:hint="eastAsia" w:ascii="仿宋" w:hAnsi="仿宋" w:eastAsia="仿宋" w:cs="仿宋"/>
          <w:b w:val="0"/>
          <w:bCs w:val="0"/>
          <w:spacing w:val="-4"/>
          <w:sz w:val="32"/>
          <w:szCs w:val="32"/>
        </w:rPr>
        <w:tab/>
        <w:t>2</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2</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制度执行</w:t>
      </w:r>
      <w:r>
        <w:rPr>
          <w:rStyle w:val="17"/>
          <w:rFonts w:hint="eastAsia" w:ascii="仿宋" w:hAnsi="仿宋" w:eastAsia="仿宋" w:cs="仿宋"/>
          <w:b w:val="0"/>
          <w:bCs w:val="0"/>
          <w:spacing w:val="-4"/>
          <w:sz w:val="32"/>
          <w:szCs w:val="32"/>
        </w:rPr>
        <w:tab/>
        <w:t>3</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3</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w:t>
      </w:r>
      <w:r>
        <w:rPr>
          <w:rStyle w:val="17"/>
          <w:rFonts w:hint="eastAsia" w:ascii="仿宋" w:hAnsi="仿宋" w:eastAsia="仿宋" w:cs="仿宋"/>
          <w:b w:val="0"/>
          <w:bCs w:val="0"/>
          <w:spacing w:val="-4"/>
          <w:sz w:val="32"/>
          <w:szCs w:val="32"/>
        </w:rPr>
        <w:tab/>
        <w:t>20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20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查证《关于申请解决冬季供热电费资金的报告》，预算安排总额为120万元，实际到位120万元，资金到位率100%。资金到位率=（实际到位资金/预算资金）×100%=（120万元/120万元）×100%=100%，得5分。综上，该指标满分5分，根据评分标准得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本项目预算编制较为详细，项目资金支出总体能够按照预算执行。</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经查证支付凭证、资金申请报告资料，该项目实际到位资金为120万元，实际支出资金为120万元，预算执行率=（实际支出资金/实际到位资金）×100%=（120万元/120万元）×100%=100%，得5分。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综上，该指标满分5分，根据评分标准得5分。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①经查证项目的支付凭证，项目资金的使用依据《建设项目管理内部控制制度》和《伽师工业园区管委会专项资金管理办法》“专款专用的使用要求”，得1分。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②资金的拨付有较为完整的审批程序和手续，得1分。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③经查证项目支付凭证等资料，项目资金使用符合项目预算批复和合同规定的用途，得1分。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④经查证，项目资金使用不存在截留、挤占、挪用、虚列支出等情况，得2分。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综上，该指标满分5分，根据评分标准得5分。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①我单位制定了《伽师工业园区管理委员会预算绩效管理工作实施办法》，《伽师工业园区管委会专项资金管理办法》等健全完整的各项管理制度，得1分。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综上，该指标满分2分，根据评分标准得2分。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由部门提出经费预算支出可行性方案，经过与县政府分管领导沟通后，报党支部会议研究执行，财务对资金的使用合法合规性进行监督，年底对资金使用效果进行自评。为加强对《关于申请解决冬季供热电费资金的报告》项目的组织领导，确保项目按照相关规定及程序完成，成立项目领导小组，具体如下：</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唐志强任组长，职责为负责全盘工作。</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祝磅任副组长，职责为对项目实施情况进行实地调查。</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玉财任成员，职责为负责资料审核等工作。</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项目产出指标得分情况</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w:t>
      </w:r>
      <w:r>
        <w:rPr>
          <w:rStyle w:val="17"/>
          <w:rFonts w:hint="eastAsia" w:ascii="仿宋" w:hAnsi="仿宋" w:eastAsia="仿宋" w:cs="仿宋"/>
          <w:b w:val="0"/>
          <w:bCs w:val="0"/>
          <w:spacing w:val="-4"/>
          <w:sz w:val="32"/>
          <w:szCs w:val="32"/>
        </w:rPr>
        <w:tab/>
        <w:t>权重</w:t>
      </w:r>
      <w:r>
        <w:rPr>
          <w:rStyle w:val="17"/>
          <w:rFonts w:hint="eastAsia" w:ascii="仿宋" w:hAnsi="仿宋" w:eastAsia="仿宋" w:cs="仿宋"/>
          <w:b w:val="0"/>
          <w:bCs w:val="0"/>
          <w:spacing w:val="-4"/>
          <w:sz w:val="32"/>
          <w:szCs w:val="32"/>
        </w:rPr>
        <w:tab/>
        <w:t>得分率</w:t>
      </w:r>
      <w:r>
        <w:rPr>
          <w:rStyle w:val="17"/>
          <w:rFonts w:hint="eastAsia" w:ascii="仿宋" w:hAnsi="仿宋" w:eastAsia="仿宋" w:cs="仿宋"/>
          <w:b w:val="0"/>
          <w:bCs w:val="0"/>
          <w:spacing w:val="-4"/>
          <w:sz w:val="32"/>
          <w:szCs w:val="32"/>
        </w:rPr>
        <w:tab/>
        <w:t>实际得分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产出数量</w:t>
      </w:r>
      <w:r>
        <w:rPr>
          <w:rStyle w:val="17"/>
          <w:rFonts w:hint="eastAsia" w:ascii="仿宋" w:hAnsi="仿宋" w:eastAsia="仿宋" w:cs="仿宋"/>
          <w:b w:val="0"/>
          <w:bCs w:val="0"/>
          <w:spacing w:val="-4"/>
          <w:sz w:val="32"/>
          <w:szCs w:val="32"/>
        </w:rPr>
        <w:tab/>
        <w:t>10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10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产出质量</w:t>
      </w:r>
      <w:r>
        <w:rPr>
          <w:rStyle w:val="17"/>
          <w:rFonts w:hint="eastAsia" w:ascii="仿宋" w:hAnsi="仿宋" w:eastAsia="仿宋" w:cs="仿宋"/>
          <w:b w:val="0"/>
          <w:bCs w:val="0"/>
          <w:spacing w:val="-4"/>
          <w:sz w:val="32"/>
          <w:szCs w:val="32"/>
        </w:rPr>
        <w:tab/>
        <w:t>10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10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产出时效</w:t>
      </w:r>
      <w:r>
        <w:rPr>
          <w:rStyle w:val="17"/>
          <w:rFonts w:hint="eastAsia" w:ascii="仿宋" w:hAnsi="仿宋" w:eastAsia="仿宋" w:cs="仿宋"/>
          <w:b w:val="0"/>
          <w:bCs w:val="0"/>
          <w:spacing w:val="-4"/>
          <w:sz w:val="32"/>
          <w:szCs w:val="32"/>
        </w:rPr>
        <w:tab/>
        <w:t>10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10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成本情况</w:t>
      </w:r>
      <w:r>
        <w:rPr>
          <w:rStyle w:val="17"/>
          <w:rFonts w:hint="eastAsia" w:ascii="仿宋" w:hAnsi="仿宋" w:eastAsia="仿宋" w:cs="仿宋"/>
          <w:b w:val="0"/>
          <w:bCs w:val="0"/>
          <w:spacing w:val="-4"/>
          <w:sz w:val="32"/>
          <w:szCs w:val="32"/>
        </w:rPr>
        <w:tab/>
        <w:t>10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10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w:t>
      </w:r>
      <w:r>
        <w:rPr>
          <w:rStyle w:val="17"/>
          <w:rFonts w:hint="eastAsia" w:ascii="仿宋" w:hAnsi="仿宋" w:eastAsia="仿宋" w:cs="仿宋"/>
          <w:b w:val="0"/>
          <w:bCs w:val="0"/>
          <w:spacing w:val="-4"/>
          <w:sz w:val="32"/>
          <w:szCs w:val="32"/>
        </w:rPr>
        <w:tab/>
        <w:t>40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40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用电数量指标，预期指标值为=3243244度，实际完成值为3243244度，指标完成率为100%，与预期目标一致，根据评分标准，该指标不扣分，得10分。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资金拨付及时率指标，预期指标值为=100%，实际完成值为100%，指标完成率为100%，与预期目标一致，根据评分标准，该指标不扣分，得5分。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项目完成及时率指标，预期指标值为=100%，实际完成值为100%，指标完成率为100%，与预期目标一致，根据评分标准，该指标不扣分，得5分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电费单价指标，预期指标值为=0.37元/度，实际完成值为0.37元/度，指标完成率为100%，与预期目标一致，项目经费都能控制绩效目标范围内，根据评分标准，该指标不扣分，得10分。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项目绩效指标得分情况</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w:t>
      </w:r>
      <w:r>
        <w:rPr>
          <w:rStyle w:val="17"/>
          <w:rFonts w:hint="eastAsia" w:ascii="仿宋" w:hAnsi="仿宋" w:eastAsia="仿宋" w:cs="仿宋"/>
          <w:b w:val="0"/>
          <w:bCs w:val="0"/>
          <w:spacing w:val="-4"/>
          <w:sz w:val="32"/>
          <w:szCs w:val="32"/>
        </w:rPr>
        <w:tab/>
        <w:t>权重</w:t>
      </w:r>
      <w:r>
        <w:rPr>
          <w:rStyle w:val="17"/>
          <w:rFonts w:hint="eastAsia" w:ascii="仿宋" w:hAnsi="仿宋" w:eastAsia="仿宋" w:cs="仿宋"/>
          <w:b w:val="0"/>
          <w:bCs w:val="0"/>
          <w:spacing w:val="-4"/>
          <w:sz w:val="32"/>
          <w:szCs w:val="32"/>
        </w:rPr>
        <w:tab/>
        <w:t>得分率</w:t>
      </w:r>
      <w:r>
        <w:rPr>
          <w:rStyle w:val="17"/>
          <w:rFonts w:hint="eastAsia" w:ascii="仿宋" w:hAnsi="仿宋" w:eastAsia="仿宋" w:cs="仿宋"/>
          <w:b w:val="0"/>
          <w:bCs w:val="0"/>
          <w:spacing w:val="-4"/>
          <w:sz w:val="32"/>
          <w:szCs w:val="32"/>
        </w:rPr>
        <w:tab/>
        <w:t>实际得分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实施效益</w:t>
      </w:r>
      <w:r>
        <w:rPr>
          <w:rStyle w:val="17"/>
          <w:rFonts w:hint="eastAsia" w:ascii="仿宋" w:hAnsi="仿宋" w:eastAsia="仿宋" w:cs="仿宋"/>
          <w:b w:val="0"/>
          <w:bCs w:val="0"/>
          <w:spacing w:val="-4"/>
          <w:sz w:val="32"/>
          <w:szCs w:val="32"/>
        </w:rPr>
        <w:tab/>
        <w:t>10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10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ab/>
        <w:t/>
      </w:r>
      <w:r>
        <w:rPr>
          <w:rStyle w:val="17"/>
          <w:rFonts w:hint="eastAsia" w:ascii="仿宋" w:hAnsi="仿宋" w:eastAsia="仿宋" w:cs="仿宋"/>
          <w:b w:val="0"/>
          <w:bCs w:val="0"/>
          <w:spacing w:val="-4"/>
          <w:sz w:val="32"/>
          <w:szCs w:val="32"/>
        </w:rPr>
        <w:tab/>
        <w:t/>
      </w:r>
      <w:r>
        <w:rPr>
          <w:rStyle w:val="17"/>
          <w:rFonts w:hint="eastAsia" w:ascii="仿宋" w:hAnsi="仿宋" w:eastAsia="仿宋" w:cs="仿宋"/>
          <w:b w:val="0"/>
          <w:bCs w:val="0"/>
          <w:spacing w:val="-4"/>
          <w:sz w:val="32"/>
          <w:szCs w:val="32"/>
        </w:rPr>
        <w:tab/>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满意度</w:t>
      </w:r>
      <w:r>
        <w:rPr>
          <w:rStyle w:val="17"/>
          <w:rFonts w:hint="eastAsia" w:ascii="仿宋" w:hAnsi="仿宋" w:eastAsia="仿宋" w:cs="仿宋"/>
          <w:b w:val="0"/>
          <w:bCs w:val="0"/>
          <w:spacing w:val="-4"/>
          <w:sz w:val="32"/>
          <w:szCs w:val="32"/>
        </w:rPr>
        <w:tab/>
        <w:t>10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10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w:t>
      </w:r>
      <w:r>
        <w:rPr>
          <w:rStyle w:val="17"/>
          <w:rFonts w:hint="eastAsia" w:ascii="仿宋" w:hAnsi="仿宋" w:eastAsia="仿宋" w:cs="仿宋"/>
          <w:b w:val="0"/>
          <w:bCs w:val="0"/>
          <w:spacing w:val="-4"/>
          <w:sz w:val="32"/>
          <w:szCs w:val="32"/>
        </w:rPr>
        <w:tab/>
        <w:t>20</w:t>
      </w:r>
      <w:r>
        <w:rPr>
          <w:rStyle w:val="17"/>
          <w:rFonts w:hint="eastAsia" w:ascii="仿宋" w:hAnsi="仿宋" w:eastAsia="仿宋" w:cs="仿宋"/>
          <w:b w:val="0"/>
          <w:bCs w:val="0"/>
          <w:spacing w:val="-4"/>
          <w:sz w:val="32"/>
          <w:szCs w:val="32"/>
        </w:rPr>
        <w:tab/>
        <w:t>100%</w:t>
      </w:r>
      <w:r>
        <w:rPr>
          <w:rStyle w:val="17"/>
          <w:rFonts w:hint="eastAsia" w:ascii="仿宋" w:hAnsi="仿宋" w:eastAsia="仿宋" w:cs="仿宋"/>
          <w:b w:val="0"/>
          <w:bCs w:val="0"/>
          <w:spacing w:val="-4"/>
          <w:sz w:val="32"/>
          <w:szCs w:val="32"/>
        </w:rPr>
        <w:tab/>
        <w:t>20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保障园区工作生活正常运转指标，该指标预期指标值为有效保障，实际完成值为有效保障，指标完成率为100%，与预期指标一致，根据评分标准，该指标不扣分，得10分。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实施效益指标合计得10分。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2.满意度指标: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对于“满意度指标：园区工作生活人员满意度100%，该指标预期指标值为≧95%，实际完成值为100%，指标完成率为105.26%，达到预期目标，根据评分标准，该指标不扣分,得10分。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（1）调研对象</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本次问卷调查的对象为园区工作生活人员。</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（2）调研方式</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本次计划采取简单随机抽样的方式，对该项目的受益对象进行线下问卷调查；在中共伽师工业园区工作委员会的协调下，组织安排了问卷调研工作。本次问卷调查采取线下问卷调查方式，回收有效问卷共计100份。</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（3）满意度计算模型</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满意度=∑样本数（“非常满意”×1.0分+“满意”×0.8分+“比较满意”×0.6分+“不满意”×0.3分+“非常不满意”×0分）/总样本数×100%</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（4）调查结果</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园区工作生活人员满意度=100%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伽师县工业园区2022年电费项目预算120万元，到位120万元，实际支出120万元，预算执行率为100%，项目绩效指标总体完成率为100.8%，偏差率为0.8%，此项目存在无偏差。</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一是本项目能够严格按照《项目实施方案》执行，项目执行情况较好。</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二是加强组织领导，本项目绩效评价工作，</w:t>
      </w:r>
      <w:r>
        <w:rPr>
          <w:rStyle w:val="17"/>
          <w:rFonts w:hint="eastAsia" w:ascii="仿宋" w:hAnsi="仿宋" w:eastAsia="仿宋" w:cs="仿宋"/>
          <w:b w:val="0"/>
          <w:bCs w:val="0"/>
          <w:spacing w:val="-4"/>
          <w:sz w:val="32"/>
          <w:szCs w:val="32"/>
          <w:lang w:eastAsia="zh-CN"/>
        </w:rPr>
        <w:t>由</w:t>
      </w:r>
      <w:r>
        <w:rPr>
          <w:rStyle w:val="17"/>
          <w:rFonts w:hint="eastAsia" w:ascii="仿宋" w:hAnsi="仿宋" w:eastAsia="仿宋" w:cs="仿宋"/>
          <w:b w:val="0"/>
          <w:bCs w:val="0"/>
          <w:spacing w:val="-4"/>
          <w:sz w:val="32"/>
          <w:szCs w:val="32"/>
        </w:rPr>
        <w:t>单位主要领导亲自挂帅，项目负责人具体负责，从项目到资金，均能很好</w:t>
      </w:r>
      <w:r>
        <w:rPr>
          <w:rStyle w:val="17"/>
          <w:rFonts w:hint="eastAsia" w:ascii="仿宋" w:hAnsi="仿宋" w:eastAsia="仿宋" w:cs="仿宋"/>
          <w:b w:val="0"/>
          <w:bCs w:val="0"/>
          <w:spacing w:val="-4"/>
          <w:sz w:val="32"/>
          <w:szCs w:val="32"/>
          <w:lang w:eastAsia="zh-CN"/>
        </w:rPr>
        <w:t>地</w:t>
      </w:r>
      <w:r>
        <w:rPr>
          <w:rStyle w:val="17"/>
          <w:rFonts w:hint="eastAsia" w:ascii="仿宋" w:hAnsi="仿宋" w:eastAsia="仿宋" w:cs="仿宋"/>
          <w:b w:val="0"/>
          <w:bCs w:val="0"/>
          <w:spacing w:val="-4"/>
          <w:sz w:val="32"/>
          <w:szCs w:val="32"/>
        </w:rPr>
        <w:t>执行。</w:t>
      </w:r>
      <w:bookmarkStart w:id="0" w:name="_GoBack"/>
      <w:bookmarkEnd w:id="0"/>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三是加强沟通协调，我单位及时向领导汇报项目进度，财务人员积极做好资金支付工作，确保项目按期完工，为园区生产生活用电提供有效保障。</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（1）绩效管理意识薄弱，未能全面深入认识理解绩效管理工作的意义，单位内部各部门缺乏合作意识，导致预算绩效管理的约束力和执行力降低，阻碍了绩效管理的推进</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（2）绩效指标的明确性、可衡量性、相关性还需进一步提升。预算精细化管理还需完善，预算编制管理水平仍有进一步提升的空间。</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（3）绩效管理评价标准量化难，导致评价结果系统性不强，绩效管理评价只能涵盖一个部门的指标，不能进行部门之间的对比。</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（1）加强预算绩效目标管理工作。明确预算项目绩效目标编制要求，分类别建立科学合理、细化量化、可比可测预算绩效指标体系，突出结果导向，重点考核实绩。</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（2）加强绩效业务学习及培训，提高业务人员绩效管理意识，进一步加强预算绩效管理工作，优化项目支出绩效指标体系，完善预算绩效管理制度，有效推动我单位下一年度预算绩效管理工作常态化、规范化。</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通过强化专业培训、学习考察、业务交流等措施，帮助和促进本单位现有人员提高绩效管理业务水平、实际工作能力。强化预算绩效执行工作，指定专人负责预算执行监督管理，进一步推动预算绩效管理工作。</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FE72B98"/>
    <w:rsid w:val="1F0A6DF7"/>
    <w:rsid w:val="2AE11386"/>
    <w:rsid w:val="2D4C6AD2"/>
    <w:rsid w:val="2D5A6638"/>
    <w:rsid w:val="340D5924"/>
    <w:rsid w:val="43B04001"/>
    <w:rsid w:val="4609551D"/>
    <w:rsid w:val="4D2606A1"/>
    <w:rsid w:val="4DD42C22"/>
    <w:rsid w:val="503863D1"/>
    <w:rsid w:val="50796DE0"/>
    <w:rsid w:val="5DA70C36"/>
    <w:rsid w:val="716B6B6A"/>
    <w:rsid w:val="7A780714"/>
    <w:rsid w:val="7C7B655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cp:lastModifiedBy>
  <cp:lastPrinted>2018-12-31T10:56:00Z</cp:lastPrinted>
  <dcterms:modified xsi:type="dcterms:W3CDTF">2024-11-07T04:18:34Z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