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spacing w:line="570" w:lineRule="exact"/>
        <w:jc w:val="both"/>
        <w:outlineLvl w:val="0"/>
        <w:rPr>
          <w:rFonts w:hint="default" w:ascii="Times New Roman" w:hAnsi="Times New Roman" w:eastAsia="黑体" w:cs="Times New Roman"/>
          <w:b/>
          <w:bCs/>
          <w:color w:val="auto"/>
          <w:sz w:val="52"/>
          <w:szCs w:val="52"/>
          <w:highlight w:val="none"/>
          <w:lang w:val="en-US" w:eastAsia="zh-CN"/>
        </w:rPr>
      </w:pPr>
    </w:p>
    <w:p>
      <w:pPr>
        <w:pageBreakBefore w:val="0"/>
        <w:kinsoku/>
        <w:wordWrap/>
        <w:bidi w:val="0"/>
        <w:spacing w:line="570" w:lineRule="exact"/>
        <w:jc w:val="both"/>
        <w:outlineLvl w:val="0"/>
        <w:rPr>
          <w:rFonts w:hint="default" w:ascii="Times New Roman" w:hAnsi="Times New Roman" w:eastAsia="黑体" w:cs="Times New Roman"/>
          <w:b/>
          <w:bCs/>
          <w:color w:val="auto"/>
          <w:sz w:val="52"/>
          <w:szCs w:val="52"/>
          <w:highlight w:val="none"/>
          <w:lang w:val="en-US" w:eastAsia="zh-CN"/>
        </w:rPr>
      </w:pPr>
    </w:p>
    <w:p>
      <w:pPr>
        <w:pageBreakBefore w:val="0"/>
        <w:kinsoku/>
        <w:wordWrap/>
        <w:bidi w:val="0"/>
        <w:spacing w:line="570" w:lineRule="exact"/>
        <w:jc w:val="center"/>
        <w:outlineLvl w:val="0"/>
        <w:rPr>
          <w:rFonts w:hint="default" w:ascii="方正小标宋_GBK" w:hAnsi="方正小标宋_GBK" w:eastAsia="方正小标宋_GBK" w:cs="方正小标宋_GBK"/>
          <w:b/>
          <w:bCs/>
          <w:color w:val="auto"/>
          <w:sz w:val="40"/>
          <w:szCs w:val="40"/>
          <w:highlight w:val="none"/>
          <w:lang w:val="en-US" w:eastAsia="zh-CN"/>
        </w:rPr>
      </w:pPr>
      <w:bookmarkStart w:id="0" w:name="_Toc14628"/>
      <w:bookmarkStart w:id="1" w:name="_Toc21564"/>
      <w:r>
        <w:rPr>
          <w:rFonts w:hint="eastAsia" w:ascii="方正小标宋_GBK" w:hAnsi="方正小标宋_GBK" w:eastAsia="方正小标宋_GBK" w:cs="方正小标宋_GBK"/>
          <w:b/>
          <w:bCs/>
          <w:color w:val="auto"/>
          <w:sz w:val="40"/>
          <w:szCs w:val="40"/>
          <w:highlight w:val="none"/>
          <w:lang w:val="en-US" w:eastAsia="zh-CN"/>
        </w:rPr>
        <w:t>喀什地区伽师县</w:t>
      </w:r>
      <w:r>
        <w:rPr>
          <w:rFonts w:hint="default" w:ascii="方正小标宋_GBK" w:hAnsi="方正小标宋_GBK" w:eastAsia="方正小标宋_GBK" w:cs="方正小标宋_GBK"/>
          <w:b/>
          <w:bCs/>
          <w:color w:val="auto"/>
          <w:sz w:val="40"/>
          <w:szCs w:val="40"/>
          <w:highlight w:val="none"/>
          <w:lang w:val="en-US" w:eastAsia="zh-CN"/>
        </w:rPr>
        <w:t>20</w:t>
      </w:r>
      <w:r>
        <w:rPr>
          <w:rFonts w:hint="eastAsia" w:ascii="方正小标宋_GBK" w:hAnsi="方正小标宋_GBK" w:eastAsia="方正小标宋_GBK" w:cs="方正小标宋_GBK"/>
          <w:b/>
          <w:bCs/>
          <w:color w:val="auto"/>
          <w:sz w:val="40"/>
          <w:szCs w:val="40"/>
          <w:highlight w:val="none"/>
          <w:lang w:val="en-US" w:eastAsia="zh-CN"/>
        </w:rPr>
        <w:t>22</w:t>
      </w:r>
      <w:r>
        <w:rPr>
          <w:rFonts w:hint="default" w:ascii="方正小标宋_GBK" w:hAnsi="方正小标宋_GBK" w:eastAsia="方正小标宋_GBK" w:cs="方正小标宋_GBK"/>
          <w:b/>
          <w:bCs/>
          <w:color w:val="auto"/>
          <w:sz w:val="40"/>
          <w:szCs w:val="40"/>
          <w:highlight w:val="none"/>
          <w:lang w:val="en-US" w:eastAsia="zh-CN"/>
        </w:rPr>
        <w:t>年度</w:t>
      </w:r>
      <w:bookmarkEnd w:id="0"/>
      <w:bookmarkEnd w:id="1"/>
    </w:p>
    <w:p>
      <w:pPr>
        <w:pageBreakBefore w:val="0"/>
        <w:kinsoku/>
        <w:wordWrap/>
        <w:bidi w:val="0"/>
        <w:spacing w:line="570" w:lineRule="exact"/>
        <w:jc w:val="center"/>
        <w:outlineLvl w:val="0"/>
        <w:rPr>
          <w:rFonts w:hint="default" w:ascii="方正小标宋_GBK" w:hAnsi="方正小标宋_GBK" w:eastAsia="方正小标宋_GBK" w:cs="方正小标宋_GBK"/>
          <w:b/>
          <w:bCs/>
          <w:color w:val="auto"/>
          <w:sz w:val="40"/>
          <w:szCs w:val="40"/>
          <w:highlight w:val="none"/>
          <w:lang w:val="en-US" w:eastAsia="zh-CN"/>
        </w:rPr>
      </w:pPr>
      <w:bookmarkStart w:id="2" w:name="_Toc3248"/>
      <w:bookmarkStart w:id="3" w:name="_Toc19025"/>
      <w:r>
        <w:rPr>
          <w:rFonts w:hint="default" w:ascii="方正小标宋_GBK" w:hAnsi="方正小标宋_GBK" w:eastAsia="方正小标宋_GBK" w:cs="方正小标宋_GBK"/>
          <w:b/>
          <w:bCs/>
          <w:color w:val="auto"/>
          <w:sz w:val="40"/>
          <w:szCs w:val="40"/>
          <w:highlight w:val="none"/>
          <w:lang w:val="en-US" w:eastAsia="zh-CN"/>
        </w:rPr>
        <w:t>预算绩效评价报告</w:t>
      </w:r>
      <w:bookmarkEnd w:id="2"/>
      <w:bookmarkEnd w:id="3"/>
    </w:p>
    <w:p>
      <w:pPr>
        <w:pageBreakBefore w:val="0"/>
        <w:kinsoku/>
        <w:wordWrap/>
        <w:bidi w:val="0"/>
        <w:spacing w:line="570" w:lineRule="exact"/>
        <w:jc w:val="both"/>
        <w:rPr>
          <w:rFonts w:hint="default" w:ascii="Times New Roman" w:hAnsi="Times New Roman" w:eastAsia="方正小标宋_GBK" w:cs="Times New Roman"/>
          <w:b/>
          <w:bCs/>
          <w:color w:val="auto"/>
          <w:sz w:val="48"/>
          <w:szCs w:val="48"/>
          <w:highlight w:val="none"/>
          <w:lang w:val="en-US" w:eastAsia="zh-CN"/>
        </w:rPr>
      </w:pPr>
    </w:p>
    <w:p>
      <w:pPr>
        <w:pageBreakBefore w:val="0"/>
        <w:kinsoku/>
        <w:wordWrap/>
        <w:bidi w:val="0"/>
        <w:spacing w:line="570" w:lineRule="exact"/>
        <w:jc w:val="both"/>
        <w:rPr>
          <w:rFonts w:hint="default" w:ascii="Times New Roman" w:hAnsi="Times New Roman" w:eastAsia="方正小标宋_GBK" w:cs="Times New Roman"/>
          <w:b/>
          <w:bCs/>
          <w:color w:val="auto"/>
          <w:sz w:val="48"/>
          <w:szCs w:val="48"/>
          <w:highlight w:val="none"/>
          <w:lang w:val="en-US" w:eastAsia="zh-CN"/>
        </w:rPr>
      </w:pPr>
    </w:p>
    <w:p>
      <w:pPr>
        <w:pageBreakBefore w:val="0"/>
        <w:kinsoku/>
        <w:wordWrap/>
        <w:bidi w:val="0"/>
        <w:spacing w:line="570" w:lineRule="exact"/>
        <w:jc w:val="both"/>
        <w:rPr>
          <w:rFonts w:hint="default" w:ascii="Times New Roman" w:hAnsi="Times New Roman" w:eastAsia="方正小标宋_GBK" w:cs="Times New Roman"/>
          <w:b/>
          <w:bCs/>
          <w:color w:val="auto"/>
          <w:sz w:val="48"/>
          <w:szCs w:val="48"/>
          <w:highlight w:val="none"/>
          <w:lang w:val="en-US" w:eastAsia="zh-CN"/>
        </w:rPr>
      </w:pPr>
    </w:p>
    <w:p>
      <w:pPr>
        <w:pageBreakBefore w:val="0"/>
        <w:kinsoku/>
        <w:wordWrap/>
        <w:bidi w:val="0"/>
        <w:spacing w:line="570" w:lineRule="exact"/>
        <w:jc w:val="both"/>
        <w:rPr>
          <w:rFonts w:hint="default" w:ascii="Times New Roman" w:hAnsi="Times New Roman" w:eastAsia="方正小标宋_GBK" w:cs="Times New Roman"/>
          <w:b/>
          <w:bCs/>
          <w:color w:val="auto"/>
          <w:sz w:val="48"/>
          <w:szCs w:val="48"/>
          <w:highlight w:val="none"/>
          <w:lang w:val="en-US" w:eastAsia="zh-CN"/>
        </w:rPr>
      </w:pPr>
    </w:p>
    <w:p>
      <w:pPr>
        <w:pageBreakBefore w:val="0"/>
        <w:kinsoku/>
        <w:wordWrap/>
        <w:bidi w:val="0"/>
        <w:spacing w:line="570" w:lineRule="exact"/>
        <w:ind w:left="2238" w:leftChars="266" w:hanging="1600" w:hangingChars="500"/>
        <w:jc w:val="both"/>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项目名称：伽师县农技中心2022年第三次全国土壤普查工作项目</w:t>
      </w:r>
    </w:p>
    <w:p>
      <w:pPr>
        <w:pageBreakBefore w:val="0"/>
        <w:kinsoku/>
        <w:wordWrap/>
        <w:bidi w:val="0"/>
        <w:spacing w:line="570" w:lineRule="exact"/>
        <w:ind w:left="2238" w:leftChars="266" w:hanging="1600" w:hangingChars="500"/>
        <w:jc w:val="both"/>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项目单位：伽师县农业技术推广中心</w:t>
      </w:r>
    </w:p>
    <w:p>
      <w:pPr>
        <w:pageBreakBefore w:val="0"/>
        <w:kinsoku/>
        <w:wordWrap/>
        <w:bidi w:val="0"/>
        <w:spacing w:line="570" w:lineRule="exact"/>
        <w:ind w:left="2238" w:leftChars="266" w:hanging="1600" w:hangingChars="500"/>
        <w:jc w:val="both"/>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主管部门：伽师县农业农村局</w:t>
      </w:r>
    </w:p>
    <w:p>
      <w:pPr>
        <w:pageBreakBefore w:val="0"/>
        <w:kinsoku/>
        <w:wordWrap/>
        <w:bidi w:val="0"/>
        <w:spacing w:line="570" w:lineRule="exact"/>
        <w:ind w:left="2238" w:leftChars="266" w:hanging="1600" w:hangingChars="500"/>
        <w:jc w:val="both"/>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委托单位：伽师县财政局</w:t>
      </w:r>
    </w:p>
    <w:p>
      <w:pPr>
        <w:pageBreakBefore w:val="0"/>
        <w:kinsoku/>
        <w:wordWrap/>
        <w:bidi w:val="0"/>
        <w:spacing w:line="570" w:lineRule="exact"/>
        <w:ind w:left="2238" w:leftChars="266" w:hanging="1600" w:hangingChars="500"/>
        <w:jc w:val="both"/>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评价机构：新疆永信中正项目管理咨询有限公司</w:t>
      </w:r>
    </w:p>
    <w:p>
      <w:pPr>
        <w:pageBreakBefore w:val="0"/>
        <w:kinsoku/>
        <w:wordWrap/>
        <w:bidi w:val="0"/>
        <w:spacing w:line="570" w:lineRule="exact"/>
        <w:ind w:left="2238" w:leftChars="266" w:hanging="1600" w:hangingChars="500"/>
        <w:jc w:val="both"/>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主评人：邹燕</w:t>
      </w:r>
    </w:p>
    <w:p>
      <w:pPr>
        <w:pStyle w:val="2"/>
        <w:jc w:val="center"/>
        <w:rPr>
          <w:rFonts w:hint="eastAsia"/>
          <w:lang w:val="en-US" w:eastAsia="zh-CN"/>
        </w:rPr>
      </w:pPr>
      <w:r>
        <w:rPr>
          <w:color w:val="FF0000"/>
        </w:rPr>
        <w:drawing>
          <wp:inline distT="0" distB="0" distL="114300" distR="114300">
            <wp:extent cx="1678305" cy="1394460"/>
            <wp:effectExtent l="0" t="0" r="17145"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1678305" cy="1394460"/>
                    </a:xfrm>
                    <a:prstGeom prst="rect">
                      <a:avLst/>
                    </a:prstGeom>
                    <a:noFill/>
                    <a:ln>
                      <a:noFill/>
                    </a:ln>
                  </pic:spPr>
                </pic:pic>
              </a:graphicData>
            </a:graphic>
          </wp:inline>
        </w:drawing>
      </w:r>
    </w:p>
    <w:p>
      <w:pPr>
        <w:pageBreakBefore w:val="0"/>
        <w:kinsoku/>
        <w:wordWrap/>
        <w:bidi w:val="0"/>
        <w:spacing w:line="570" w:lineRule="exact"/>
        <w:ind w:left="2238" w:leftChars="266" w:hanging="1600" w:hangingChars="500"/>
        <w:jc w:val="center"/>
        <w:rPr>
          <w:rFonts w:hint="eastAsia" w:ascii="黑体" w:hAnsi="黑体" w:eastAsia="黑体" w:cs="黑体"/>
          <w:b w:val="0"/>
          <w:bCs w:val="0"/>
          <w:color w:val="auto"/>
          <w:sz w:val="32"/>
          <w:szCs w:val="32"/>
          <w:highlight w:val="none"/>
          <w:lang w:val="en-US" w:eastAsia="zh-CN"/>
        </w:rPr>
        <w:sectPr>
          <w:pgSz w:w="11906" w:h="16838"/>
          <w:pgMar w:top="1984" w:right="1531" w:bottom="1701" w:left="1531" w:header="851" w:footer="992" w:gutter="0"/>
          <w:pgNumType w:fmt="decimal"/>
          <w:cols w:space="720" w:num="1"/>
          <w:docGrid w:type="lines" w:linePitch="312" w:charSpace="0"/>
        </w:sectPr>
      </w:pPr>
      <w:r>
        <w:rPr>
          <w:rFonts w:hint="eastAsia" w:ascii="黑体" w:hAnsi="黑体" w:eastAsia="黑体" w:cs="黑体"/>
          <w:b w:val="0"/>
          <w:bCs w:val="0"/>
          <w:color w:val="auto"/>
          <w:sz w:val="32"/>
          <w:szCs w:val="32"/>
          <w:highlight w:val="none"/>
          <w:lang w:val="en-US" w:eastAsia="zh-CN"/>
        </w:rPr>
        <w:t>2023年7月</w:t>
      </w:r>
    </w:p>
    <w:p>
      <w:pPr>
        <w:keepNext w:val="0"/>
        <w:keepLines w:val="0"/>
        <w:pageBreakBefore w:val="0"/>
        <w:kinsoku/>
        <w:wordWrap/>
        <w:topLinePunct w:val="0"/>
        <w:bidi w:val="0"/>
        <w:snapToGrid/>
        <w:spacing w:line="570" w:lineRule="exact"/>
        <w:jc w:val="center"/>
        <w:outlineLvl w:val="0"/>
        <w:rPr>
          <w:rFonts w:hint="eastAsia" w:ascii="方正小标宋_GBK" w:hAnsi="方正小标宋_GBK" w:eastAsia="方正小标宋_GBK" w:cs="方正小标宋_GBK"/>
          <w:b w:val="0"/>
          <w:bCs w:val="0"/>
          <w:color w:val="auto"/>
          <w:sz w:val="40"/>
          <w:szCs w:val="40"/>
          <w:highlight w:val="none"/>
          <w:lang w:val="en-US" w:eastAsia="zh-CN"/>
        </w:rPr>
      </w:pPr>
      <w:bookmarkStart w:id="4" w:name="_Toc2061"/>
      <w:bookmarkStart w:id="5" w:name="_Toc11681"/>
      <w:bookmarkStart w:id="6" w:name="_Toc5178"/>
      <w:r>
        <w:rPr>
          <w:rFonts w:hint="eastAsia" w:ascii="方正小标宋_GBK" w:hAnsi="方正小标宋_GBK" w:eastAsia="方正小标宋_GBK" w:cs="方正小标宋_GBK"/>
          <w:b w:val="0"/>
          <w:bCs w:val="0"/>
          <w:color w:val="auto"/>
          <w:sz w:val="40"/>
          <w:szCs w:val="40"/>
          <w:highlight w:val="none"/>
          <w:lang w:val="en-US" w:eastAsia="zh-CN"/>
        </w:rPr>
        <w:t>摘要</w:t>
      </w:r>
      <w:bookmarkEnd w:id="4"/>
      <w:bookmarkEnd w:id="5"/>
      <w:bookmarkEnd w:id="6"/>
    </w:p>
    <w:p>
      <w:pPr>
        <w:keepNext w:val="0"/>
        <w:keepLines w:val="0"/>
        <w:pageBreakBefore w:val="0"/>
        <w:numPr>
          <w:ilvl w:val="0"/>
          <w:numId w:val="2"/>
        </w:numPr>
        <w:kinsoku/>
        <w:wordWrap/>
        <w:overflowPunct/>
        <w:topLinePunct w:val="0"/>
        <w:autoSpaceDE/>
        <w:autoSpaceDN/>
        <w:bidi w:val="0"/>
        <w:adjustRightInd/>
        <w:snapToGrid/>
        <w:spacing w:beforeAutospacing="0" w:afterAutospacing="0" w:line="570" w:lineRule="atLeast"/>
        <w:ind w:firstLine="640" w:firstLineChars="200"/>
        <w:textAlignment w:val="auto"/>
        <w:outlineLvl w:val="0"/>
        <w:rPr>
          <w:rFonts w:hint="eastAsia" w:ascii="方正黑体_GBK" w:hAnsi="方正黑体_GBK" w:eastAsia="方正黑体_GBK" w:cs="方正黑体_GBK"/>
          <w:b w:val="0"/>
          <w:bCs w:val="0"/>
          <w:color w:val="auto"/>
          <w:kern w:val="0"/>
          <w:sz w:val="32"/>
          <w:szCs w:val="32"/>
          <w:highlight w:val="none"/>
          <w:lang w:val="en-US" w:eastAsia="zh-CN" w:bidi="en-US"/>
        </w:rPr>
      </w:pPr>
      <w:bookmarkStart w:id="7" w:name="_Toc7048"/>
      <w:bookmarkStart w:id="8" w:name="_Toc21206"/>
      <w:bookmarkStart w:id="9" w:name="_Toc23364"/>
      <w:r>
        <w:rPr>
          <w:rFonts w:hint="eastAsia" w:ascii="方正黑体_GBK" w:hAnsi="方正黑体_GBK" w:eastAsia="方正黑体_GBK" w:cs="方正黑体_GBK"/>
          <w:b w:val="0"/>
          <w:bCs w:val="0"/>
          <w:color w:val="auto"/>
          <w:kern w:val="0"/>
          <w:sz w:val="32"/>
          <w:szCs w:val="32"/>
          <w:highlight w:val="none"/>
          <w:lang w:bidi="en-US"/>
        </w:rPr>
        <w:t>项目</w:t>
      </w:r>
      <w:r>
        <w:rPr>
          <w:rFonts w:hint="eastAsia" w:ascii="方正黑体_GBK" w:hAnsi="方正黑体_GBK" w:eastAsia="方正黑体_GBK" w:cs="方正黑体_GBK"/>
          <w:b w:val="0"/>
          <w:bCs w:val="0"/>
          <w:color w:val="auto"/>
          <w:kern w:val="0"/>
          <w:sz w:val="32"/>
          <w:szCs w:val="32"/>
          <w:highlight w:val="none"/>
          <w:lang w:val="en-US" w:eastAsia="zh-CN" w:bidi="en-US"/>
        </w:rPr>
        <w:t>概述</w:t>
      </w:r>
      <w:bookmarkEnd w:id="7"/>
      <w:bookmarkEnd w:id="8"/>
    </w:p>
    <w:p>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570" w:lineRule="exact"/>
        <w:ind w:firstLine="643" w:firstLineChars="200"/>
        <w:jc w:val="both"/>
        <w:textAlignment w:val="auto"/>
        <w:rPr>
          <w:rFonts w:hint="eastAsia" w:ascii="方正楷体_GBK" w:hAnsi="方正楷体_GBK" w:eastAsia="方正楷体_GBK" w:cs="方正楷体_GBK"/>
          <w:b/>
          <w:bCs/>
          <w:color w:val="auto"/>
          <w:sz w:val="32"/>
          <w:szCs w:val="32"/>
          <w:highlight w:val="none"/>
          <w:lang w:val="en-US" w:eastAsia="zh-CN"/>
        </w:rPr>
      </w:pPr>
      <w:r>
        <w:rPr>
          <w:rFonts w:hint="eastAsia" w:ascii="方正楷体_GBK" w:hAnsi="方正楷体_GBK" w:eastAsia="方正楷体_GBK" w:cs="方正楷体_GBK"/>
          <w:b/>
          <w:bCs/>
          <w:color w:val="auto"/>
          <w:sz w:val="32"/>
          <w:szCs w:val="32"/>
          <w:highlight w:val="none"/>
          <w:lang w:val="en-US" w:eastAsia="zh-CN"/>
        </w:rPr>
        <w:t>（一）项目概</w:t>
      </w:r>
      <w:bookmarkEnd w:id="9"/>
      <w:r>
        <w:rPr>
          <w:rFonts w:hint="eastAsia" w:ascii="方正楷体_GBK" w:hAnsi="方正楷体_GBK" w:eastAsia="方正楷体_GBK" w:cs="方正楷体_GBK"/>
          <w:b/>
          <w:bCs/>
          <w:color w:val="auto"/>
          <w:sz w:val="32"/>
          <w:szCs w:val="32"/>
          <w:highlight w:val="none"/>
          <w:lang w:val="en-US" w:eastAsia="zh-CN"/>
        </w:rPr>
        <w:t>况</w:t>
      </w:r>
    </w:p>
    <w:p>
      <w:pPr>
        <w:pStyle w:val="42"/>
        <w:pageBreakBefore w:val="0"/>
        <w:kinsoku/>
        <w:wordWrap/>
        <w:bidi w:val="0"/>
        <w:spacing w:line="570" w:lineRule="exact"/>
        <w:ind w:firstLine="640"/>
        <w:jc w:val="both"/>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项目名称：伽师县农技中心2022年第三次全国土壤普查工作项目</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（以下简称“该项目”或“项目”）</w:t>
      </w: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w:t>
      </w:r>
    </w:p>
    <w:p>
      <w:pPr>
        <w:pStyle w:val="29"/>
        <w:keepNext w:val="0"/>
        <w:keepLines w:val="0"/>
        <w:pageBreakBefore w:val="0"/>
        <w:widowControl/>
        <w:kinsoku/>
        <w:wordWrap/>
        <w:overflowPunct/>
        <w:topLinePunct w:val="0"/>
        <w:autoSpaceDE/>
        <w:autoSpaceDN/>
        <w:bidi w:val="0"/>
        <w:adjustRightInd/>
        <w:snapToGrid/>
        <w:spacing w:line="570" w:lineRule="exact"/>
        <w:ind w:firstLine="664" w:firstLineChars="200"/>
        <w:jc w:val="both"/>
        <w:textAlignment w:val="auto"/>
        <w:rPr>
          <w:rFonts w:hint="eastAsia" w:ascii="方正仿宋_GBK" w:hAnsi="方正仿宋_GBK" w:eastAsia="方正仿宋_GBK" w:cs="方正仿宋_GBK"/>
          <w:b w:val="0"/>
          <w:bCs/>
          <w:color w:val="auto"/>
          <w:spacing w:val="6"/>
          <w:kern w:val="0"/>
          <w:sz w:val="32"/>
          <w:szCs w:val="32"/>
          <w:highlight w:val="none"/>
          <w:lang w:val="en-US" w:eastAsia="zh-CN" w:bidi="ar"/>
        </w:rPr>
      </w:pP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项目背景</w:t>
      </w: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auto"/>
          <w:sz w:val="32"/>
          <w:szCs w:val="32"/>
          <w:highlight w:val="none"/>
          <w:lang w:val="en-US" w:eastAsia="zh-CN"/>
        </w:rPr>
        <w:t>开展第三次全国土壤普查是守牢耕地红线确保国家粮食安全的重要基础，是落实高质量发展要求加快农业农村现代化的重要支撑，是保护环境促进生态文明建设的重要举措，是优化农业生产布局助力乡村产业振兴的有效途径。</w:t>
      </w:r>
      <w:r>
        <w:rPr>
          <w:rFonts w:hint="eastAsia" w:ascii="方正仿宋_GBK" w:hAnsi="方正仿宋_GBK" w:eastAsia="方正仿宋_GBK" w:cs="方正仿宋_GBK"/>
          <w:b w:val="0"/>
          <w:bCs/>
          <w:color w:val="auto"/>
          <w:spacing w:val="6"/>
          <w:kern w:val="0"/>
          <w:sz w:val="32"/>
          <w:szCs w:val="32"/>
          <w:highlight w:val="none"/>
          <w:lang w:val="en-US" w:eastAsia="zh-CN" w:bidi="ar"/>
        </w:rPr>
        <w:t>为准确掌握土壤质量和利用状况，全面提升土壤资源保护和利用水平，保护生态环境，确保到2025年实现对全县耕地、园地、林地、盐碱地、草地等土壤“全面体检”，摸清土壤质量，守住耕地红线，保护生态环境优化农业生产布局推进，伽师县以习近平新时代中国特色社会主义思想为指导，全面贯彻党的十九大和十九届历次全会精神，弘扬伟大建党精神，完整、准确、全面贯彻新发展理念，全面查明查清伽师县土壤类型及分布规律、土壤资源现状及变化趋势，真实准确掌握土壤质量、性状和利用状况等基础数据，提升土壤资源保护和利用水平，为守住耕地红线、优化农业生产布局、确保国家粮食安全奠定坚实基础，为加快农业农村现代化、全面推进乡村振兴、促进生态文明建设提供有力支撑，开展伽师县2022年第三次全国土壤普查工作。</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b w:val="0"/>
          <w:bCs/>
          <w:color w:val="auto"/>
          <w:spacing w:val="6"/>
          <w:kern w:val="0"/>
          <w:sz w:val="32"/>
          <w:szCs w:val="32"/>
          <w:highlight w:val="none"/>
          <w:lang w:val="en-US" w:eastAsia="zh-CN" w:bidi="ar"/>
        </w:rPr>
      </w:pPr>
      <w:r>
        <w:rPr>
          <w:rFonts w:hint="eastAsia" w:ascii="方正仿宋_GBK" w:hAnsi="方正仿宋_GBK" w:eastAsia="方正仿宋_GBK" w:cs="方正仿宋_GBK"/>
          <w:b w:val="0"/>
          <w:bCs w:val="0"/>
          <w:color w:val="auto"/>
          <w:sz w:val="32"/>
          <w:szCs w:val="32"/>
          <w:highlight w:val="none"/>
          <w:lang w:val="en-US" w:eastAsia="zh-CN"/>
        </w:rPr>
        <w:t>项目内容：该项目资金主要用于</w:t>
      </w:r>
      <w:r>
        <w:rPr>
          <w:rFonts w:hint="eastAsia" w:ascii="方正仿宋_GBK" w:hAnsi="方正仿宋_GBK" w:eastAsia="方正仿宋_GBK" w:cs="方正仿宋_GBK"/>
          <w:b w:val="0"/>
          <w:bCs/>
          <w:color w:val="auto"/>
          <w:spacing w:val="6"/>
          <w:kern w:val="0"/>
          <w:sz w:val="32"/>
          <w:szCs w:val="32"/>
          <w:highlight w:val="none"/>
          <w:lang w:val="en-US" w:eastAsia="zh-CN" w:bidi="ar"/>
        </w:rPr>
        <w:t>采集土壤样品及流转和土壤样品检测等工作，项目实施后，能够真实准确掌握土壤质量和利用状况，全面提升土壤资源保护和利用水平，保护生态环境，优化农业生产布局，推动农业高质量发展。</w:t>
      </w:r>
    </w:p>
    <w:p>
      <w:pPr>
        <w:keepNext w:val="0"/>
        <w:keepLines w:val="0"/>
        <w:pageBreakBefore w:val="0"/>
        <w:widowControl w:val="0"/>
        <w:numPr>
          <w:ilvl w:val="0"/>
          <w:numId w:val="3"/>
        </w:numPr>
        <w:kinsoku/>
        <w:wordWrap/>
        <w:overflowPunct/>
        <w:topLinePunct w:val="0"/>
        <w:autoSpaceDE/>
        <w:autoSpaceDN/>
        <w:bidi w:val="0"/>
        <w:adjustRightInd/>
        <w:snapToGrid/>
        <w:spacing w:beforeAutospacing="0" w:afterAutospacing="0" w:line="570" w:lineRule="exact"/>
        <w:ind w:leftChars="200"/>
        <w:jc w:val="both"/>
        <w:textAlignment w:val="auto"/>
        <w:rPr>
          <w:rFonts w:hint="eastAsia" w:ascii="方正楷体_GBK" w:hAnsi="方正楷体_GBK" w:eastAsia="方正楷体_GBK" w:cs="方正楷体_GBK"/>
          <w:b/>
          <w:bCs/>
          <w:color w:val="auto"/>
          <w:sz w:val="32"/>
          <w:szCs w:val="32"/>
          <w:highlight w:val="none"/>
          <w:lang w:val="en-US" w:eastAsia="zh-CN"/>
        </w:rPr>
      </w:pPr>
      <w:r>
        <w:rPr>
          <w:rFonts w:hint="eastAsia" w:ascii="方正楷体_GBK" w:hAnsi="方正楷体_GBK" w:eastAsia="方正楷体_GBK" w:cs="方正楷体_GBK"/>
          <w:b/>
          <w:bCs/>
          <w:color w:val="auto"/>
          <w:sz w:val="32"/>
          <w:szCs w:val="32"/>
          <w:highlight w:val="none"/>
          <w:lang w:val="en-US" w:eastAsia="zh-CN"/>
        </w:rPr>
        <w:t>评价工作概况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0" w:lineRule="exact"/>
        <w:ind w:firstLine="640"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本次评价目的是为全面了解该项目预算编制合理性、资金使用合规性、项目管理的规范性、项目目标的实现情况、服务对象的满意度等，对</w:t>
      </w:r>
      <w:r>
        <w:rPr>
          <w:rFonts w:hint="eastAsia" w:ascii="方正仿宋_GBK" w:hAnsi="方正仿宋_GBK" w:eastAsia="方正仿宋_GBK" w:cs="方正仿宋_GBK"/>
          <w:b w:val="0"/>
          <w:bCs/>
          <w:color w:val="auto"/>
          <w:spacing w:val="6"/>
          <w:kern w:val="0"/>
          <w:sz w:val="32"/>
          <w:szCs w:val="32"/>
          <w:highlight w:val="none"/>
          <w:lang w:val="en-US" w:eastAsia="zh-CN" w:bidi="ar"/>
        </w:rPr>
        <w:t>伽师县农技中心</w:t>
      </w:r>
      <w:r>
        <w:rPr>
          <w:rFonts w:hint="eastAsia" w:ascii="方正仿宋_GBK" w:hAnsi="方正仿宋_GBK" w:eastAsia="方正仿宋_GBK" w:cs="方正仿宋_GBK"/>
          <w:b w:val="0"/>
          <w:bCs w:val="0"/>
          <w:color w:val="auto"/>
          <w:sz w:val="32"/>
          <w:szCs w:val="32"/>
          <w:highlight w:val="none"/>
          <w:lang w:val="en-US" w:eastAsia="zh-CN"/>
        </w:rPr>
        <w:t>2022年</w:t>
      </w:r>
      <w:r>
        <w:rPr>
          <w:rFonts w:hint="eastAsia" w:ascii="方正仿宋_GBK" w:hAnsi="方正仿宋_GBK" w:eastAsia="方正仿宋_GBK" w:cs="方正仿宋_GBK"/>
          <w:b w:val="0"/>
          <w:bCs/>
          <w:color w:val="auto"/>
          <w:spacing w:val="6"/>
          <w:kern w:val="0"/>
          <w:sz w:val="32"/>
          <w:szCs w:val="32"/>
          <w:highlight w:val="none"/>
          <w:lang w:val="en-US" w:eastAsia="zh-CN" w:bidi="ar"/>
        </w:rPr>
        <w:t>第三次全国土壤普查工作项目</w:t>
      </w:r>
      <w:r>
        <w:rPr>
          <w:rFonts w:hint="eastAsia" w:ascii="方正仿宋_GBK" w:hAnsi="方正仿宋_GBK" w:eastAsia="方正仿宋_GBK" w:cs="方正仿宋_GBK"/>
          <w:b w:val="0"/>
          <w:bCs w:val="0"/>
          <w:color w:val="auto"/>
          <w:sz w:val="32"/>
          <w:szCs w:val="32"/>
          <w:highlight w:val="none"/>
          <w:lang w:val="en-US" w:eastAsia="zh-CN"/>
        </w:rPr>
        <w:t>支出的经济性、效率性、效益性和公平性进行客观、公正地测量、分析和评判，通过本次绩效评价来总结经验和教训，促进项目成果转化和应用，为今后类似项目的长效管理，提供可行性参考建议。项目组结合评价内容，从三方面对</w:t>
      </w:r>
      <w:r>
        <w:rPr>
          <w:rFonts w:hint="eastAsia" w:ascii="方正仿宋_GBK" w:hAnsi="方正仿宋_GBK" w:eastAsia="方正仿宋_GBK" w:cs="方正仿宋_GBK"/>
          <w:b w:val="0"/>
          <w:bCs/>
          <w:color w:val="auto"/>
          <w:spacing w:val="6"/>
          <w:kern w:val="0"/>
          <w:sz w:val="32"/>
          <w:szCs w:val="32"/>
          <w:highlight w:val="none"/>
          <w:lang w:val="en-US" w:eastAsia="zh-CN" w:bidi="ar"/>
        </w:rPr>
        <w:t>伽师县农技中心2022年第三次全国土壤普查工作项目</w:t>
      </w:r>
      <w:r>
        <w:rPr>
          <w:rFonts w:hint="eastAsia" w:ascii="方正仿宋_GBK" w:hAnsi="方正仿宋_GBK" w:eastAsia="方正仿宋_GBK" w:cs="方正仿宋_GBK"/>
          <w:b w:val="0"/>
          <w:bCs w:val="0"/>
          <w:color w:val="auto"/>
          <w:sz w:val="32"/>
          <w:szCs w:val="32"/>
          <w:highlight w:val="none"/>
          <w:lang w:val="en-US" w:eastAsia="zh-CN"/>
        </w:rPr>
        <w:t>实施绩效评价：一是通过资料查阅了解项目政策、立项背景和决策过程等；二是通过走访项目实施单位进行实地调研，了解项目实施完成真实情况；三是通过收集项目资料，梳理资料信息等基础数据采集、发放问卷、书面访谈等方式多渠道获取评价信息。</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rPr>
          <w:rFonts w:hint="eastAsia" w:ascii="方正黑体_GBK" w:hAnsi="方正黑体_GBK" w:eastAsia="方正黑体_GBK" w:cs="方正黑体_GBK"/>
          <w:b w:val="0"/>
          <w:bCs w:val="0"/>
          <w:color w:val="auto"/>
          <w:sz w:val="32"/>
          <w:szCs w:val="32"/>
          <w:highlight w:val="none"/>
          <w:lang w:val="en-US" w:eastAsia="zh-CN"/>
        </w:rPr>
      </w:pPr>
      <w:bookmarkStart w:id="10" w:name="_Toc24416"/>
      <w:r>
        <w:rPr>
          <w:rFonts w:hint="eastAsia" w:ascii="方正黑体_GBK" w:hAnsi="方正黑体_GBK" w:eastAsia="方正黑体_GBK" w:cs="方正黑体_GBK"/>
          <w:b w:val="0"/>
          <w:bCs w:val="0"/>
          <w:color w:val="auto"/>
          <w:sz w:val="32"/>
          <w:szCs w:val="32"/>
          <w:highlight w:val="none"/>
          <w:lang w:val="en-US" w:eastAsia="zh-CN"/>
        </w:rPr>
        <w:t>二、绩效评价</w:t>
      </w:r>
      <w:bookmarkEnd w:id="10"/>
      <w:r>
        <w:rPr>
          <w:rFonts w:hint="eastAsia" w:ascii="方正黑体_GBK" w:hAnsi="方正黑体_GBK" w:eastAsia="方正黑体_GBK" w:cs="方正黑体_GBK"/>
          <w:b w:val="0"/>
          <w:bCs w:val="0"/>
          <w:color w:val="auto"/>
          <w:sz w:val="32"/>
          <w:szCs w:val="32"/>
          <w:highlight w:val="none"/>
          <w:lang w:val="en-US" w:eastAsia="zh-CN"/>
        </w:rPr>
        <w:t>结论</w:t>
      </w:r>
    </w:p>
    <w:p>
      <w:pPr>
        <w:pStyle w:val="28"/>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40" w:firstLineChars="200"/>
        <w:jc w:val="both"/>
        <w:textAlignment w:val="auto"/>
        <w:rPr>
          <w:rFonts w:hint="eastAsia"/>
          <w:highlight w:val="none"/>
          <w:lang w:val="en-US" w:eastAsia="zh-CN"/>
        </w:rPr>
      </w:pPr>
      <w:r>
        <w:rPr>
          <w:rFonts w:hint="eastAsia" w:ascii="方正仿宋_GBK" w:hAnsi="方正仿宋_GBK" w:eastAsia="方正仿宋_GBK" w:cs="方正仿宋_GBK"/>
          <w:b w:val="0"/>
          <w:bCs w:val="0"/>
          <w:color w:val="auto"/>
          <w:kern w:val="0"/>
          <w:sz w:val="32"/>
          <w:szCs w:val="32"/>
          <w:highlight w:val="none"/>
          <w:lang w:val="en-US" w:eastAsia="zh-CN" w:bidi="en-US"/>
        </w:rPr>
        <w:t>通过调研、数据分析、访谈等方式，根据工作方案确定的指标体系及评分标准，对“</w:t>
      </w:r>
      <w:r>
        <w:rPr>
          <w:rFonts w:hint="eastAsia" w:ascii="方正仿宋_GBK" w:hAnsi="方正仿宋_GBK" w:eastAsia="方正仿宋_GBK" w:cs="方正仿宋_GBK"/>
          <w:b w:val="0"/>
          <w:bCs/>
          <w:color w:val="auto"/>
          <w:spacing w:val="6"/>
          <w:kern w:val="0"/>
          <w:sz w:val="32"/>
          <w:szCs w:val="32"/>
          <w:highlight w:val="none"/>
          <w:lang w:val="en-US" w:eastAsia="zh-CN" w:bidi="ar"/>
        </w:rPr>
        <w:t>伽师县农技中心2022年第三次全国土壤普查工作项目</w:t>
      </w:r>
      <w:r>
        <w:rPr>
          <w:rFonts w:hint="eastAsia" w:ascii="方正仿宋_GBK" w:hAnsi="方正仿宋_GBK" w:eastAsia="方正仿宋_GBK" w:cs="方正仿宋_GBK"/>
          <w:b w:val="0"/>
          <w:bCs w:val="0"/>
          <w:color w:val="auto"/>
          <w:kern w:val="0"/>
          <w:sz w:val="32"/>
          <w:szCs w:val="32"/>
          <w:highlight w:val="none"/>
          <w:lang w:val="en-US" w:eastAsia="zh-CN" w:bidi="en-US"/>
        </w:rPr>
        <w:t>”绩效进行客观评价，该项目组织比较规范，目标完成情况良好，部分指标实现了预期目标，项目最终得分为98.28分，评价级别属于“优”。</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rPr>
          <w:rFonts w:hint="default" w:ascii="方正黑体_GBK" w:hAnsi="方正黑体_GBK" w:eastAsia="方正黑体_GBK" w:cs="方正黑体_GBK"/>
          <w:b w:val="0"/>
          <w:bCs w:val="0"/>
          <w:color w:val="auto"/>
          <w:kern w:val="0"/>
          <w:sz w:val="32"/>
          <w:szCs w:val="32"/>
          <w:highlight w:val="none"/>
          <w:lang w:val="en-US" w:eastAsia="zh-CN" w:bidi="en-US"/>
        </w:rPr>
      </w:pPr>
      <w:r>
        <w:rPr>
          <w:rFonts w:hint="eastAsia" w:ascii="方正黑体_GBK" w:hAnsi="方正黑体_GBK" w:eastAsia="方正黑体_GBK" w:cs="方正黑体_GBK"/>
          <w:b w:val="0"/>
          <w:bCs w:val="0"/>
          <w:color w:val="auto"/>
          <w:kern w:val="0"/>
          <w:sz w:val="32"/>
          <w:szCs w:val="32"/>
          <w:highlight w:val="none"/>
          <w:lang w:val="en-US" w:eastAsia="zh-CN" w:bidi="en-US"/>
        </w:rPr>
        <w:t>三、</w:t>
      </w:r>
      <w:r>
        <w:rPr>
          <w:rFonts w:hint="default" w:ascii="方正黑体_GBK" w:hAnsi="方正黑体_GBK" w:eastAsia="方正黑体_GBK" w:cs="方正黑体_GBK"/>
          <w:b w:val="0"/>
          <w:bCs w:val="0"/>
          <w:color w:val="auto"/>
          <w:kern w:val="0"/>
          <w:sz w:val="32"/>
          <w:szCs w:val="32"/>
          <w:highlight w:val="none"/>
          <w:lang w:val="en-US" w:eastAsia="zh-CN" w:bidi="en-US"/>
        </w:rPr>
        <w:t>主要经验及做法、存在的问题和改进的建议</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70" w:lineRule="exact"/>
        <w:ind w:firstLine="643" w:firstLineChars="200"/>
        <w:jc w:val="both"/>
        <w:textAlignment w:val="auto"/>
        <w:rPr>
          <w:rFonts w:hint="default" w:ascii="方正楷体_GBK" w:hAnsi="方正楷体_GBK" w:eastAsia="方正楷体_GBK" w:cs="方正楷体_GBK"/>
          <w:b/>
          <w:bCs/>
          <w:color w:val="auto"/>
          <w:kern w:val="0"/>
          <w:sz w:val="32"/>
          <w:szCs w:val="32"/>
          <w:highlight w:val="none"/>
          <w:lang w:val="en-US" w:eastAsia="zh-CN" w:bidi="ar"/>
        </w:rPr>
      </w:pPr>
      <w:r>
        <w:rPr>
          <w:rFonts w:hint="default" w:ascii="方正楷体_GBK" w:hAnsi="方正楷体_GBK" w:eastAsia="方正楷体_GBK" w:cs="方正楷体_GBK"/>
          <w:b/>
          <w:bCs/>
          <w:color w:val="auto"/>
          <w:kern w:val="0"/>
          <w:sz w:val="32"/>
          <w:szCs w:val="32"/>
          <w:highlight w:val="none"/>
          <w:lang w:val="en-US" w:eastAsia="zh-CN" w:bidi="ar"/>
        </w:rPr>
        <w:t>（一）主要经验及做法</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70" w:lineRule="exact"/>
        <w:ind w:firstLine="664" w:firstLineChars="200"/>
        <w:jc w:val="both"/>
        <w:textAlignment w:val="auto"/>
        <w:rPr>
          <w:rFonts w:hint="eastAsia" w:ascii="方正仿宋_GBK" w:hAnsi="方正仿宋_GBK" w:eastAsia="方正仿宋_GBK" w:cs="方正仿宋_GBK"/>
          <w:b w:val="0"/>
          <w:bCs/>
          <w:color w:val="auto"/>
          <w:spacing w:val="6"/>
          <w:kern w:val="0"/>
          <w:sz w:val="32"/>
          <w:szCs w:val="32"/>
          <w:highlight w:val="none"/>
          <w:lang w:val="en-US" w:eastAsia="zh-CN" w:bidi="ar"/>
        </w:rPr>
      </w:pPr>
      <w:r>
        <w:rPr>
          <w:rFonts w:hint="eastAsia" w:ascii="方正仿宋_GBK" w:hAnsi="方正仿宋_GBK" w:eastAsia="方正仿宋_GBK" w:cs="方正仿宋_GBK"/>
          <w:b w:val="0"/>
          <w:bCs/>
          <w:color w:val="auto"/>
          <w:spacing w:val="6"/>
          <w:kern w:val="0"/>
          <w:sz w:val="32"/>
          <w:szCs w:val="32"/>
          <w:highlight w:val="none"/>
          <w:lang w:val="en-US" w:eastAsia="zh-CN" w:bidi="ar"/>
        </w:rPr>
        <w:t>领导高度重视。项目在实施过程中成立领导小组，组织了外业采样队，且队员都是通过自治区资格考试后的专业技术人才、不定期地组织各类培训（现场培训、动员大会、面对面宣传、悬挂条幅、发放宣传单），向居民群众宣传土壤普查对耕地的保护和建设，促进农业高质量发展，提高全社会对第三次土壤普查工作的认识。</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70" w:lineRule="exact"/>
        <w:ind w:firstLine="643" w:firstLineChars="200"/>
        <w:jc w:val="both"/>
        <w:textAlignment w:val="auto"/>
        <w:rPr>
          <w:rFonts w:hint="default" w:ascii="方正楷体_GBK" w:hAnsi="方正楷体_GBK" w:eastAsia="方正楷体_GBK" w:cs="方正楷体_GBK"/>
          <w:b/>
          <w:bCs/>
          <w:color w:val="auto"/>
          <w:kern w:val="0"/>
          <w:sz w:val="32"/>
          <w:szCs w:val="32"/>
          <w:highlight w:val="none"/>
          <w:lang w:val="en-US" w:eastAsia="zh-CN" w:bidi="ar"/>
        </w:rPr>
      </w:pPr>
      <w:r>
        <w:rPr>
          <w:rFonts w:hint="default" w:ascii="方正楷体_GBK" w:hAnsi="方正楷体_GBK" w:eastAsia="方正楷体_GBK" w:cs="方正楷体_GBK"/>
          <w:b/>
          <w:bCs/>
          <w:color w:val="auto"/>
          <w:kern w:val="0"/>
          <w:sz w:val="32"/>
          <w:szCs w:val="32"/>
          <w:highlight w:val="none"/>
          <w:lang w:val="en-US" w:eastAsia="zh-CN" w:bidi="ar"/>
        </w:rPr>
        <w:t>（二）存在问题与不足</w:t>
      </w:r>
    </w:p>
    <w:p>
      <w:pPr>
        <w:pStyle w:val="35"/>
        <w:pageBreakBefore w:val="0"/>
        <w:kinsoku/>
        <w:wordWrap/>
        <w:topLinePunct w:val="0"/>
        <w:autoSpaceDE/>
        <w:autoSpaceDN/>
        <w:bidi w:val="0"/>
        <w:spacing w:line="570" w:lineRule="exact"/>
        <w:ind w:firstLine="640"/>
        <w:jc w:val="both"/>
        <w:rPr>
          <w:rFonts w:hint="default" w:ascii="方正仿宋_GBK" w:hAnsi="方正仿宋_GBK" w:eastAsia="方正仿宋_GBK" w:cs="方正仿宋_GBK"/>
          <w:b w:val="0"/>
          <w:bCs/>
          <w:color w:val="auto"/>
          <w:spacing w:val="6"/>
          <w:kern w:val="0"/>
          <w:sz w:val="32"/>
          <w:szCs w:val="32"/>
          <w:highlight w:val="none"/>
          <w:lang w:val="en-US" w:eastAsia="zh-CN" w:bidi="ar"/>
        </w:rPr>
      </w:pPr>
      <w:r>
        <w:rPr>
          <w:rFonts w:hint="eastAsia" w:ascii="方正仿宋_GBK" w:hAnsi="方正仿宋_GBK" w:eastAsia="方正仿宋_GBK" w:cs="方正仿宋_GBK"/>
          <w:b w:val="0"/>
          <w:bCs/>
          <w:color w:val="auto"/>
          <w:spacing w:val="6"/>
          <w:kern w:val="0"/>
          <w:sz w:val="32"/>
          <w:szCs w:val="32"/>
          <w:highlight w:val="none"/>
          <w:lang w:val="en-US" w:eastAsia="zh-CN" w:bidi="ar"/>
        </w:rPr>
        <w:t>预算绩效管理理念有待强化。长期以来形成的“重投入轻管理、重使用轻绩效”的观念还未根除，较多人员误以为预算绩效管理是单位财务人员的工作，绩效理念尚未真正建立，加上缺乏相应的约束激励机制，单位实施预算绩效管理的主动性、积极性不够。</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70" w:lineRule="exact"/>
        <w:ind w:firstLine="643" w:firstLineChars="200"/>
        <w:jc w:val="both"/>
        <w:textAlignment w:val="auto"/>
        <w:rPr>
          <w:rFonts w:hint="default" w:ascii="方正楷体_GBK" w:hAnsi="方正楷体_GBK" w:eastAsia="方正楷体_GBK" w:cs="方正楷体_GBK"/>
          <w:b/>
          <w:bCs/>
          <w:color w:val="auto"/>
          <w:kern w:val="0"/>
          <w:sz w:val="32"/>
          <w:szCs w:val="32"/>
          <w:highlight w:val="none"/>
          <w:lang w:val="en-US" w:eastAsia="zh-CN" w:bidi="ar"/>
        </w:rPr>
      </w:pPr>
      <w:r>
        <w:rPr>
          <w:rFonts w:hint="default" w:ascii="方正楷体_GBK" w:hAnsi="方正楷体_GBK" w:eastAsia="方正楷体_GBK" w:cs="方正楷体_GBK"/>
          <w:b/>
          <w:bCs/>
          <w:color w:val="auto"/>
          <w:kern w:val="0"/>
          <w:sz w:val="32"/>
          <w:szCs w:val="32"/>
          <w:highlight w:val="none"/>
          <w:lang w:val="en-US" w:eastAsia="zh-CN" w:bidi="ar"/>
        </w:rPr>
        <w:t>（三）建议和改进措施</w:t>
      </w:r>
    </w:p>
    <w:p>
      <w:pPr>
        <w:pageBreakBefore w:val="0"/>
        <w:kinsoku/>
        <w:wordWrap/>
        <w:bidi w:val="0"/>
        <w:spacing w:before="0" w:beforeLines="0" w:after="0" w:afterLines="0" w:line="570" w:lineRule="exact"/>
        <w:ind w:right="0" w:rightChars="0" w:firstLine="664" w:firstLineChars="200"/>
        <w:jc w:val="both"/>
        <w:rPr>
          <w:rFonts w:hint="eastAsia" w:ascii="方正仿宋_GBK" w:hAnsi="方正仿宋_GBK" w:eastAsia="方正仿宋_GBK" w:cs="方正仿宋_GBK"/>
          <w:b w:val="0"/>
          <w:bCs/>
          <w:color w:val="auto"/>
          <w:spacing w:val="6"/>
          <w:kern w:val="0"/>
          <w:sz w:val="32"/>
          <w:szCs w:val="32"/>
          <w:highlight w:val="none"/>
          <w:lang w:val="en-US" w:eastAsia="zh-CN" w:bidi="ar"/>
        </w:rPr>
      </w:pPr>
      <w:r>
        <w:rPr>
          <w:rFonts w:hint="eastAsia" w:ascii="方正仿宋_GBK" w:hAnsi="方正仿宋_GBK" w:eastAsia="方正仿宋_GBK" w:cs="方正仿宋_GBK"/>
          <w:b w:val="0"/>
          <w:bCs/>
          <w:color w:val="auto"/>
          <w:spacing w:val="6"/>
          <w:kern w:val="0"/>
          <w:sz w:val="32"/>
          <w:szCs w:val="32"/>
          <w:highlight w:val="none"/>
          <w:lang w:val="en-US" w:eastAsia="zh-CN" w:bidi="ar"/>
        </w:rPr>
        <w:t>1.专门设定对绩效工作人员定岗、定职、定责等相关制度措施，进一步提升绩效管理工作业务水平，积极参加财政局组织的绩效管理工作培训，提高绩效人员水平。</w:t>
      </w:r>
    </w:p>
    <w:p>
      <w:pPr>
        <w:pageBreakBefore w:val="0"/>
        <w:kinsoku/>
        <w:wordWrap/>
        <w:bidi w:val="0"/>
        <w:spacing w:before="0" w:beforeLines="0" w:after="0" w:afterLines="0" w:line="570" w:lineRule="exact"/>
        <w:ind w:left="0" w:leftChars="0" w:right="0" w:rightChars="0" w:firstLine="664" w:firstLineChars="200"/>
        <w:jc w:val="both"/>
        <w:rPr>
          <w:rFonts w:hint="eastAsia" w:ascii="方正仿宋_GBK" w:hAnsi="方正仿宋_GBK" w:eastAsia="方正仿宋_GBK" w:cs="方正仿宋_GBK"/>
          <w:b w:val="0"/>
          <w:bCs/>
          <w:color w:val="auto"/>
          <w:spacing w:val="6"/>
          <w:kern w:val="0"/>
          <w:sz w:val="32"/>
          <w:szCs w:val="32"/>
          <w:highlight w:val="none"/>
          <w:lang w:val="en-US" w:eastAsia="zh-CN" w:bidi="ar"/>
        </w:rPr>
      </w:pPr>
      <w:r>
        <w:rPr>
          <w:rFonts w:hint="eastAsia" w:ascii="方正仿宋_GBK" w:hAnsi="方正仿宋_GBK" w:eastAsia="方正仿宋_GBK" w:cs="方正仿宋_GBK"/>
          <w:b w:val="0"/>
          <w:bCs/>
          <w:color w:val="auto"/>
          <w:spacing w:val="6"/>
          <w:kern w:val="0"/>
          <w:sz w:val="32"/>
          <w:szCs w:val="32"/>
          <w:highlight w:val="none"/>
          <w:lang w:val="en-US" w:eastAsia="zh-CN" w:bidi="ar"/>
        </w:rPr>
        <w:t>2.建议实施单位根据项目性质的不同制定相对应的管理制度，并且管理制度要有相应的奖惩内容，以此加强对服务单位的约束，提高资金使用效益。</w:t>
      </w:r>
    </w:p>
    <w:p>
      <w:pPr>
        <w:pStyle w:val="2"/>
        <w:rPr>
          <w:rFonts w:hint="eastAsia" w:ascii="方正仿宋_GBK" w:hAnsi="方正仿宋_GBK" w:eastAsia="方正仿宋_GBK" w:cs="方正仿宋_GBK"/>
          <w:b w:val="0"/>
          <w:bCs/>
          <w:color w:val="auto"/>
          <w:spacing w:val="6"/>
          <w:kern w:val="0"/>
          <w:sz w:val="32"/>
          <w:szCs w:val="32"/>
          <w:highlight w:val="none"/>
          <w:lang w:val="en-US" w:eastAsia="zh-CN" w:bidi="ar"/>
        </w:rPr>
      </w:pPr>
    </w:p>
    <w:p>
      <w:pPr>
        <w:rPr>
          <w:rFonts w:hint="eastAsia" w:ascii="方正仿宋_GBK" w:hAnsi="方正仿宋_GBK" w:eastAsia="方正仿宋_GBK" w:cs="方正仿宋_GBK"/>
          <w:b w:val="0"/>
          <w:bCs/>
          <w:color w:val="auto"/>
          <w:spacing w:val="6"/>
          <w:kern w:val="0"/>
          <w:sz w:val="32"/>
          <w:szCs w:val="32"/>
          <w:highlight w:val="none"/>
          <w:lang w:val="en-US" w:eastAsia="zh-CN" w:bidi="ar"/>
        </w:rPr>
      </w:pPr>
    </w:p>
    <w:p>
      <w:pPr>
        <w:pStyle w:val="2"/>
        <w:rPr>
          <w:rFonts w:hint="eastAsia" w:ascii="方正仿宋_GBK" w:hAnsi="方正仿宋_GBK" w:eastAsia="方正仿宋_GBK" w:cs="方正仿宋_GBK"/>
          <w:sz w:val="30"/>
          <w:szCs w:val="30"/>
          <w:lang w:val="en-US" w:eastAsia="zh-CN"/>
        </w:rPr>
      </w:pPr>
    </w:p>
    <w:sdt>
      <w:sdtPr>
        <w:rPr>
          <w:rFonts w:hint="eastAsia" w:ascii="方正仿宋_GBK" w:hAnsi="方正仿宋_GBK" w:eastAsia="方正仿宋_GBK" w:cs="方正仿宋_GBK"/>
          <w:kern w:val="0"/>
          <w:sz w:val="30"/>
          <w:szCs w:val="30"/>
          <w:lang w:val="en-US" w:eastAsia="zh-CN" w:bidi="ar"/>
        </w:rPr>
        <w:id w:val="147468940"/>
        <w15:color w:val="DBDBDB"/>
        <w:docPartObj>
          <w:docPartGallery w:val="Table of Contents"/>
          <w:docPartUnique/>
        </w:docPartObj>
      </w:sdtPr>
      <w:sdtEndPr>
        <w:rPr>
          <w:rFonts w:hint="eastAsia" w:ascii="方正仿宋_GBK" w:hAnsi="方正仿宋_GBK" w:eastAsia="方正仿宋_GBK" w:cs="方正仿宋_GBK"/>
          <w:b/>
          <w:bCs/>
          <w:kern w:val="0"/>
          <w:sz w:val="30"/>
          <w:szCs w:val="30"/>
          <w:lang w:val="en-US" w:eastAsia="zh-CN" w:bidi="ar"/>
        </w:rPr>
      </w:sdtEndPr>
      <w:sdtContent>
        <w:p>
          <w:pPr>
            <w:spacing w:before="0" w:beforeLines="0" w:after="0" w:afterLines="0" w:line="240" w:lineRule="auto"/>
            <w:ind w:left="0" w:leftChars="0" w:right="0" w:rightChars="0" w:firstLine="0" w:firstLineChars="0"/>
            <w:jc w:val="center"/>
            <w:rPr>
              <w:rFonts w:hint="eastAsia" w:ascii="方正仿宋_GBK" w:hAnsi="方正仿宋_GBK" w:eastAsia="方正仿宋_GBK" w:cs="方正仿宋_GBK"/>
              <w:sz w:val="30"/>
              <w:szCs w:val="30"/>
            </w:rPr>
          </w:pPr>
          <w:bookmarkStart w:id="11" w:name="_Toc7771_WPSOffice_Type2"/>
          <w:r>
            <w:rPr>
              <w:rFonts w:hint="eastAsia" w:ascii="方正仿宋_GBK" w:hAnsi="方正仿宋_GBK" w:eastAsia="方正仿宋_GBK" w:cs="方正仿宋_GBK"/>
              <w:sz w:val="30"/>
              <w:szCs w:val="30"/>
            </w:rPr>
            <w:t>目录</w:t>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_Toc18677_WPSOffice_Level1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5c0da75a-a779-476d-a8ce-8772ab8f50e5}"/>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伽师县农技中心2022年第三次全国土壤普查</w:t>
              </w:r>
            </w:sdtContent>
          </w:sdt>
          <w:r>
            <w:rPr>
              <w:rFonts w:hint="eastAsia" w:ascii="方正仿宋_GBK" w:hAnsi="方正仿宋_GBK" w:eastAsia="方正仿宋_GBK" w:cs="方正仿宋_GBK"/>
              <w:b/>
              <w:bCs/>
              <w:sz w:val="30"/>
              <w:szCs w:val="30"/>
            </w:rPr>
            <w:tab/>
          </w:r>
          <w:bookmarkStart w:id="12" w:name="_Toc18677_WPSOffice_Level1Page"/>
          <w:r>
            <w:rPr>
              <w:rFonts w:hint="eastAsia" w:ascii="方正仿宋_GBK" w:hAnsi="方正仿宋_GBK" w:eastAsia="方正仿宋_GBK" w:cs="方正仿宋_GBK"/>
              <w:b/>
              <w:bCs/>
              <w:sz w:val="30"/>
              <w:szCs w:val="30"/>
            </w:rPr>
            <w:t>1</w:t>
          </w:r>
          <w:bookmarkEnd w:id="12"/>
          <w:r>
            <w:rPr>
              <w:rFonts w:hint="eastAsia" w:ascii="方正仿宋_GBK" w:hAnsi="方正仿宋_GBK" w:eastAsia="方正仿宋_GBK" w:cs="方正仿宋_GBK"/>
              <w:b/>
              <w:bCs/>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_Toc7771_WPSOffice_Level1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5652ec9e-c5ac-49fc-b60d-ab16b2558489}"/>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工作项目预算绩效评价报告</w:t>
              </w:r>
            </w:sdtContent>
          </w:sdt>
          <w:r>
            <w:rPr>
              <w:rFonts w:hint="eastAsia" w:ascii="方正仿宋_GBK" w:hAnsi="方正仿宋_GBK" w:eastAsia="方正仿宋_GBK" w:cs="方正仿宋_GBK"/>
              <w:b/>
              <w:bCs/>
              <w:sz w:val="30"/>
              <w:szCs w:val="30"/>
            </w:rPr>
            <w:tab/>
          </w:r>
          <w:bookmarkStart w:id="13" w:name="_Toc7771_WPSOffice_Level1Page"/>
          <w:r>
            <w:rPr>
              <w:rFonts w:hint="eastAsia" w:ascii="方正仿宋_GBK" w:hAnsi="方正仿宋_GBK" w:eastAsia="方正仿宋_GBK" w:cs="方正仿宋_GBK"/>
              <w:b/>
              <w:bCs/>
              <w:sz w:val="30"/>
              <w:szCs w:val="30"/>
            </w:rPr>
            <w:t>1</w:t>
          </w:r>
          <w:bookmarkEnd w:id="13"/>
          <w:r>
            <w:rPr>
              <w:rFonts w:hint="eastAsia" w:ascii="方正仿宋_GBK" w:hAnsi="方正仿宋_GBK" w:eastAsia="方正仿宋_GBK" w:cs="方正仿宋_GBK"/>
              <w:b/>
              <w:bCs/>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_Toc25910_WPSOffice_Level1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c9a51dad-fd8f-4b49-ba1b-932ec842d13d}"/>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一、基本情况</w:t>
              </w:r>
            </w:sdtContent>
          </w:sdt>
          <w:r>
            <w:rPr>
              <w:rFonts w:hint="eastAsia" w:ascii="方正仿宋_GBK" w:hAnsi="方正仿宋_GBK" w:eastAsia="方正仿宋_GBK" w:cs="方正仿宋_GBK"/>
              <w:b/>
              <w:bCs/>
              <w:sz w:val="30"/>
              <w:szCs w:val="30"/>
            </w:rPr>
            <w:tab/>
          </w:r>
          <w:bookmarkStart w:id="14" w:name="_Toc25910_WPSOffice_Level1Page"/>
          <w:r>
            <w:rPr>
              <w:rFonts w:hint="eastAsia" w:ascii="方正仿宋_GBK" w:hAnsi="方正仿宋_GBK" w:eastAsia="方正仿宋_GBK" w:cs="方正仿宋_GBK"/>
              <w:b/>
              <w:bCs/>
              <w:sz w:val="30"/>
              <w:szCs w:val="30"/>
            </w:rPr>
            <w:t>1</w:t>
          </w:r>
          <w:bookmarkEnd w:id="14"/>
          <w:r>
            <w:rPr>
              <w:rFonts w:hint="eastAsia" w:ascii="方正仿宋_GBK" w:hAnsi="方正仿宋_GBK" w:eastAsia="方正仿宋_GBK" w:cs="方正仿宋_GBK"/>
              <w:b/>
              <w:bCs/>
              <w:sz w:val="30"/>
              <w:szCs w:val="30"/>
            </w:rPr>
            <w:fldChar w:fldCharType="end"/>
          </w:r>
        </w:p>
        <w:p>
          <w:pPr>
            <w:pStyle w:val="4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_Toc7771_WPSOffice_Level2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68940"/>
              <w:placeholder>
                <w:docPart w:val="{9b79fcad-5797-47ab-8706-90e797e65f76}"/>
              </w:placeholder>
              <w15:color w:val="509DF3"/>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（一）项目概况</w:t>
              </w:r>
            </w:sdtContent>
          </w:sdt>
          <w:r>
            <w:rPr>
              <w:rFonts w:hint="eastAsia" w:ascii="方正仿宋_GBK" w:hAnsi="方正仿宋_GBK" w:eastAsia="方正仿宋_GBK" w:cs="方正仿宋_GBK"/>
              <w:sz w:val="30"/>
              <w:szCs w:val="30"/>
            </w:rPr>
            <w:tab/>
          </w:r>
          <w:bookmarkStart w:id="15" w:name="_Toc7771_WPSOffice_Level2Page"/>
          <w:r>
            <w:rPr>
              <w:rFonts w:hint="eastAsia" w:ascii="方正仿宋_GBK" w:hAnsi="方正仿宋_GBK" w:eastAsia="方正仿宋_GBK" w:cs="方正仿宋_GBK"/>
              <w:sz w:val="30"/>
              <w:szCs w:val="30"/>
            </w:rPr>
            <w:t>1</w:t>
          </w:r>
          <w:bookmarkEnd w:id="15"/>
          <w:r>
            <w:rPr>
              <w:rFonts w:hint="eastAsia" w:ascii="方正仿宋_GBK" w:hAnsi="方正仿宋_GBK" w:eastAsia="方正仿宋_GBK" w:cs="方正仿宋_GBK"/>
              <w:sz w:val="30"/>
              <w:szCs w:val="30"/>
            </w:rPr>
            <w:fldChar w:fldCharType="end"/>
          </w:r>
        </w:p>
        <w:p>
          <w:pPr>
            <w:pStyle w:val="4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_Toc25910_WPSOffice_Level2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68940"/>
              <w:placeholder>
                <w:docPart w:val="{6f2859af-d1bd-4bc2-8147-0f92b7851593}"/>
              </w:placeholder>
              <w15:color w:val="509DF3"/>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（二）项目绩效目标</w:t>
              </w:r>
            </w:sdtContent>
          </w:sdt>
          <w:r>
            <w:rPr>
              <w:rFonts w:hint="eastAsia" w:ascii="方正仿宋_GBK" w:hAnsi="方正仿宋_GBK" w:eastAsia="方正仿宋_GBK" w:cs="方正仿宋_GBK"/>
              <w:sz w:val="30"/>
              <w:szCs w:val="30"/>
            </w:rPr>
            <w:tab/>
          </w:r>
          <w:bookmarkStart w:id="16" w:name="_Toc25910_WPSOffice_Level2Page"/>
          <w:r>
            <w:rPr>
              <w:rFonts w:hint="eastAsia" w:ascii="方正仿宋_GBK" w:hAnsi="方正仿宋_GBK" w:eastAsia="方正仿宋_GBK" w:cs="方正仿宋_GBK"/>
              <w:sz w:val="30"/>
              <w:szCs w:val="30"/>
            </w:rPr>
            <w:t>5</w:t>
          </w:r>
          <w:bookmarkEnd w:id="16"/>
          <w:r>
            <w:rPr>
              <w:rFonts w:hint="eastAsia" w:ascii="方正仿宋_GBK" w:hAnsi="方正仿宋_GBK" w:eastAsia="方正仿宋_GBK" w:cs="方正仿宋_GBK"/>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_Toc5281_WPSOffice_Level1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0cc0cb25-83a6-424f-aa94-c65af7015128}"/>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二、绩效评价工作开展情况</w:t>
              </w:r>
            </w:sdtContent>
          </w:sdt>
          <w:r>
            <w:rPr>
              <w:rFonts w:hint="eastAsia" w:ascii="方正仿宋_GBK" w:hAnsi="方正仿宋_GBK" w:eastAsia="方正仿宋_GBK" w:cs="方正仿宋_GBK"/>
              <w:b/>
              <w:bCs/>
              <w:sz w:val="30"/>
              <w:szCs w:val="30"/>
            </w:rPr>
            <w:tab/>
          </w:r>
          <w:bookmarkStart w:id="17" w:name="_Toc5281_WPSOffice_Level1Page"/>
          <w:r>
            <w:rPr>
              <w:rFonts w:hint="eastAsia" w:ascii="方正仿宋_GBK" w:hAnsi="方正仿宋_GBK" w:eastAsia="方正仿宋_GBK" w:cs="方正仿宋_GBK"/>
              <w:b/>
              <w:bCs/>
              <w:sz w:val="30"/>
              <w:szCs w:val="30"/>
            </w:rPr>
            <w:t>8</w:t>
          </w:r>
          <w:bookmarkEnd w:id="17"/>
          <w:r>
            <w:rPr>
              <w:rFonts w:hint="eastAsia" w:ascii="方正仿宋_GBK" w:hAnsi="方正仿宋_GBK" w:eastAsia="方正仿宋_GBK" w:cs="方正仿宋_GBK"/>
              <w:b/>
              <w:bCs/>
              <w:sz w:val="30"/>
              <w:szCs w:val="30"/>
            </w:rPr>
            <w:fldChar w:fldCharType="end"/>
          </w:r>
        </w:p>
        <w:p>
          <w:pPr>
            <w:pStyle w:val="4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_Toc5281_WPSOffice_Level2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68940"/>
              <w:placeholder>
                <w:docPart w:val="{bf9d2990-e239-4630-8cfc-715e8b6e369a}"/>
              </w:placeholder>
              <w15:color w:val="509DF3"/>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（一）绩效评价目的、对象和范围</w:t>
              </w:r>
            </w:sdtContent>
          </w:sdt>
          <w:r>
            <w:rPr>
              <w:rFonts w:hint="eastAsia" w:ascii="方正仿宋_GBK" w:hAnsi="方正仿宋_GBK" w:eastAsia="方正仿宋_GBK" w:cs="方正仿宋_GBK"/>
              <w:sz w:val="30"/>
              <w:szCs w:val="30"/>
            </w:rPr>
            <w:tab/>
          </w:r>
          <w:bookmarkStart w:id="18" w:name="_Toc5281_WPSOffice_Level2Page"/>
          <w:r>
            <w:rPr>
              <w:rFonts w:hint="eastAsia" w:ascii="方正仿宋_GBK" w:hAnsi="方正仿宋_GBK" w:eastAsia="方正仿宋_GBK" w:cs="方正仿宋_GBK"/>
              <w:sz w:val="30"/>
              <w:szCs w:val="30"/>
            </w:rPr>
            <w:t>8</w:t>
          </w:r>
          <w:bookmarkEnd w:id="18"/>
          <w:r>
            <w:rPr>
              <w:rFonts w:hint="eastAsia" w:ascii="方正仿宋_GBK" w:hAnsi="方正仿宋_GBK" w:eastAsia="方正仿宋_GBK" w:cs="方正仿宋_GBK"/>
              <w:sz w:val="30"/>
              <w:szCs w:val="30"/>
            </w:rPr>
            <w:fldChar w:fldCharType="end"/>
          </w:r>
        </w:p>
        <w:p>
          <w:pPr>
            <w:pStyle w:val="4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_Toc3165_WPSOffice_Level2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68940"/>
              <w:placeholder>
                <w:docPart w:val="{ee19ad35-6f6d-4442-acad-fe592b7c64cd}"/>
              </w:placeholder>
              <w15:color w:val="509DF3"/>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（二）绩效评价原则、评价指标体系、评价方法评价标准</w:t>
              </w:r>
            </w:sdtContent>
          </w:sdt>
          <w:r>
            <w:rPr>
              <w:rFonts w:hint="eastAsia" w:ascii="方正仿宋_GBK" w:hAnsi="方正仿宋_GBK" w:eastAsia="方正仿宋_GBK" w:cs="方正仿宋_GBK"/>
              <w:sz w:val="30"/>
              <w:szCs w:val="30"/>
            </w:rPr>
            <w:tab/>
          </w:r>
          <w:bookmarkStart w:id="19" w:name="_Toc3165_WPSOffice_Level2Page"/>
          <w:r>
            <w:rPr>
              <w:rFonts w:hint="eastAsia" w:ascii="方正仿宋_GBK" w:hAnsi="方正仿宋_GBK" w:eastAsia="方正仿宋_GBK" w:cs="方正仿宋_GBK"/>
              <w:sz w:val="30"/>
              <w:szCs w:val="30"/>
            </w:rPr>
            <w:t>10</w:t>
          </w:r>
          <w:bookmarkEnd w:id="19"/>
          <w:r>
            <w:rPr>
              <w:rFonts w:hint="eastAsia" w:ascii="方正仿宋_GBK" w:hAnsi="方正仿宋_GBK" w:eastAsia="方正仿宋_GBK" w:cs="方正仿宋_GBK"/>
              <w:sz w:val="30"/>
              <w:szCs w:val="30"/>
            </w:rPr>
            <w:fldChar w:fldCharType="end"/>
          </w:r>
        </w:p>
        <w:p>
          <w:pPr>
            <w:pStyle w:val="4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_Toc7522_WPSOffice_Level2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68940"/>
              <w:placeholder>
                <w:docPart w:val="{5b2f1202-c83b-440d-8e4b-5a12786a0013}"/>
              </w:placeholder>
              <w15:color w:val="509DF3"/>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（三）绩效评价工作过程</w:t>
              </w:r>
            </w:sdtContent>
          </w:sdt>
          <w:r>
            <w:rPr>
              <w:rFonts w:hint="eastAsia" w:ascii="方正仿宋_GBK" w:hAnsi="方正仿宋_GBK" w:eastAsia="方正仿宋_GBK" w:cs="方正仿宋_GBK"/>
              <w:sz w:val="30"/>
              <w:szCs w:val="30"/>
            </w:rPr>
            <w:tab/>
          </w:r>
          <w:bookmarkStart w:id="20" w:name="_Toc7522_WPSOffice_Level2Page"/>
          <w:r>
            <w:rPr>
              <w:rFonts w:hint="eastAsia" w:ascii="方正仿宋_GBK" w:hAnsi="方正仿宋_GBK" w:eastAsia="方正仿宋_GBK" w:cs="方正仿宋_GBK"/>
              <w:sz w:val="30"/>
              <w:szCs w:val="30"/>
            </w:rPr>
            <w:t>15</w:t>
          </w:r>
          <w:bookmarkEnd w:id="20"/>
          <w:r>
            <w:rPr>
              <w:rFonts w:hint="eastAsia" w:ascii="方正仿宋_GBK" w:hAnsi="方正仿宋_GBK" w:eastAsia="方正仿宋_GBK" w:cs="方正仿宋_GBK"/>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_Toc3165_WPSOffice_Level1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14adffbb-412e-4d6d-8065-58f46c0b4a9e}"/>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三、综合评价情况及评价结论</w:t>
              </w:r>
            </w:sdtContent>
          </w:sdt>
          <w:r>
            <w:rPr>
              <w:rFonts w:hint="eastAsia" w:ascii="方正仿宋_GBK" w:hAnsi="方正仿宋_GBK" w:eastAsia="方正仿宋_GBK" w:cs="方正仿宋_GBK"/>
              <w:b/>
              <w:bCs/>
              <w:sz w:val="30"/>
              <w:szCs w:val="30"/>
            </w:rPr>
            <w:tab/>
          </w:r>
          <w:bookmarkStart w:id="21" w:name="_Toc3165_WPSOffice_Level1Page"/>
          <w:r>
            <w:rPr>
              <w:rFonts w:hint="eastAsia" w:ascii="方正仿宋_GBK" w:hAnsi="方正仿宋_GBK" w:eastAsia="方正仿宋_GBK" w:cs="方正仿宋_GBK"/>
              <w:b/>
              <w:bCs/>
              <w:sz w:val="30"/>
              <w:szCs w:val="30"/>
            </w:rPr>
            <w:t>17</w:t>
          </w:r>
          <w:bookmarkEnd w:id="21"/>
          <w:r>
            <w:rPr>
              <w:rFonts w:hint="eastAsia" w:ascii="方正仿宋_GBK" w:hAnsi="方正仿宋_GBK" w:eastAsia="方正仿宋_GBK" w:cs="方正仿宋_GBK"/>
              <w:b/>
              <w:bCs/>
              <w:sz w:val="30"/>
              <w:szCs w:val="30"/>
            </w:rPr>
            <w:fldChar w:fldCharType="end"/>
          </w:r>
        </w:p>
        <w:p>
          <w:pPr>
            <w:pStyle w:val="4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_Toc8982_WPSOffice_Level2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68940"/>
              <w:placeholder>
                <w:docPart w:val="{97dc2e40-0b16-4c96-b3ed-b6cb8962d84b}"/>
              </w:placeholder>
              <w15:color w:val="509DF3"/>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（一）综合评价情况</w:t>
              </w:r>
            </w:sdtContent>
          </w:sdt>
          <w:r>
            <w:rPr>
              <w:rFonts w:hint="eastAsia" w:ascii="方正仿宋_GBK" w:hAnsi="方正仿宋_GBK" w:eastAsia="方正仿宋_GBK" w:cs="方正仿宋_GBK"/>
              <w:sz w:val="30"/>
              <w:szCs w:val="30"/>
            </w:rPr>
            <w:tab/>
          </w:r>
          <w:bookmarkStart w:id="22" w:name="_Toc8982_WPSOffice_Level2Page"/>
          <w:r>
            <w:rPr>
              <w:rFonts w:hint="eastAsia" w:ascii="方正仿宋_GBK" w:hAnsi="方正仿宋_GBK" w:eastAsia="方正仿宋_GBK" w:cs="方正仿宋_GBK"/>
              <w:sz w:val="30"/>
              <w:szCs w:val="30"/>
            </w:rPr>
            <w:t>17</w:t>
          </w:r>
          <w:bookmarkEnd w:id="22"/>
          <w:r>
            <w:rPr>
              <w:rFonts w:hint="eastAsia" w:ascii="方正仿宋_GBK" w:hAnsi="方正仿宋_GBK" w:eastAsia="方正仿宋_GBK" w:cs="方正仿宋_GBK"/>
              <w:sz w:val="30"/>
              <w:szCs w:val="30"/>
            </w:rPr>
            <w:fldChar w:fldCharType="end"/>
          </w:r>
        </w:p>
        <w:p>
          <w:pPr>
            <w:pStyle w:val="4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_Toc17249_WPSOffice_Level2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68940"/>
              <w:placeholder>
                <w:docPart w:val="{0bb64f43-646a-4d66-b9b3-9a66ec2f22fd}"/>
              </w:placeholder>
              <w15:color w:val="509DF3"/>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（二）综合评价结论</w:t>
              </w:r>
            </w:sdtContent>
          </w:sdt>
          <w:r>
            <w:rPr>
              <w:rFonts w:hint="eastAsia" w:ascii="方正仿宋_GBK" w:hAnsi="方正仿宋_GBK" w:eastAsia="方正仿宋_GBK" w:cs="方正仿宋_GBK"/>
              <w:sz w:val="30"/>
              <w:szCs w:val="30"/>
            </w:rPr>
            <w:tab/>
          </w:r>
          <w:bookmarkStart w:id="23" w:name="_Toc17249_WPSOffice_Level2Page"/>
          <w:r>
            <w:rPr>
              <w:rFonts w:hint="eastAsia" w:ascii="方正仿宋_GBK" w:hAnsi="方正仿宋_GBK" w:eastAsia="方正仿宋_GBK" w:cs="方正仿宋_GBK"/>
              <w:sz w:val="30"/>
              <w:szCs w:val="30"/>
            </w:rPr>
            <w:t>18</w:t>
          </w:r>
          <w:bookmarkEnd w:id="23"/>
          <w:r>
            <w:rPr>
              <w:rFonts w:hint="eastAsia" w:ascii="方正仿宋_GBK" w:hAnsi="方正仿宋_GBK" w:eastAsia="方正仿宋_GBK" w:cs="方正仿宋_GBK"/>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_Toc7522_WPSOffice_Level1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5d1e8fa6-1add-451a-aef7-ecd574e67d5b}"/>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四、绩效评价指标分析</w:t>
              </w:r>
            </w:sdtContent>
          </w:sdt>
          <w:r>
            <w:rPr>
              <w:rFonts w:hint="eastAsia" w:ascii="方正仿宋_GBK" w:hAnsi="方正仿宋_GBK" w:eastAsia="方正仿宋_GBK" w:cs="方正仿宋_GBK"/>
              <w:b/>
              <w:bCs/>
              <w:sz w:val="30"/>
              <w:szCs w:val="30"/>
            </w:rPr>
            <w:tab/>
          </w:r>
          <w:bookmarkStart w:id="24" w:name="_Toc7522_WPSOffice_Level1Page"/>
          <w:r>
            <w:rPr>
              <w:rFonts w:hint="eastAsia" w:ascii="方正仿宋_GBK" w:hAnsi="方正仿宋_GBK" w:eastAsia="方正仿宋_GBK" w:cs="方正仿宋_GBK"/>
              <w:b/>
              <w:bCs/>
              <w:sz w:val="30"/>
              <w:szCs w:val="30"/>
            </w:rPr>
            <w:t>19</w:t>
          </w:r>
          <w:bookmarkEnd w:id="24"/>
          <w:r>
            <w:rPr>
              <w:rFonts w:hint="eastAsia" w:ascii="方正仿宋_GBK" w:hAnsi="方正仿宋_GBK" w:eastAsia="方正仿宋_GBK" w:cs="方正仿宋_GBK"/>
              <w:b/>
              <w:bCs/>
              <w:sz w:val="30"/>
              <w:szCs w:val="30"/>
            </w:rPr>
            <w:fldChar w:fldCharType="end"/>
          </w:r>
        </w:p>
        <w:p>
          <w:pPr>
            <w:pStyle w:val="4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_Toc31548_WPSOffice_Level2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68940"/>
              <w:placeholder>
                <w:docPart w:val="{54400d7c-4a59-4893-b5e4-7f3d733b25c5}"/>
              </w:placeholder>
              <w15:color w:val="509DF3"/>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（一）项目决策情况</w:t>
              </w:r>
            </w:sdtContent>
          </w:sdt>
          <w:r>
            <w:rPr>
              <w:rFonts w:hint="eastAsia" w:ascii="方正仿宋_GBK" w:hAnsi="方正仿宋_GBK" w:eastAsia="方正仿宋_GBK" w:cs="方正仿宋_GBK"/>
              <w:sz w:val="30"/>
              <w:szCs w:val="30"/>
            </w:rPr>
            <w:tab/>
          </w:r>
          <w:bookmarkStart w:id="25" w:name="_Toc31548_WPSOffice_Level2Page"/>
          <w:r>
            <w:rPr>
              <w:rFonts w:hint="eastAsia" w:ascii="方正仿宋_GBK" w:hAnsi="方正仿宋_GBK" w:eastAsia="方正仿宋_GBK" w:cs="方正仿宋_GBK"/>
              <w:sz w:val="30"/>
              <w:szCs w:val="30"/>
            </w:rPr>
            <w:t>19</w:t>
          </w:r>
          <w:bookmarkEnd w:id="25"/>
          <w:r>
            <w:rPr>
              <w:rFonts w:hint="eastAsia" w:ascii="方正仿宋_GBK" w:hAnsi="方正仿宋_GBK" w:eastAsia="方正仿宋_GBK" w:cs="方正仿宋_GBK"/>
              <w:sz w:val="30"/>
              <w:szCs w:val="30"/>
            </w:rPr>
            <w:fldChar w:fldCharType="end"/>
          </w:r>
        </w:p>
        <w:p>
          <w:pPr>
            <w:pStyle w:val="4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_Toc17061_WPSOffice_Level2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68940"/>
              <w:placeholder>
                <w:docPart w:val="{7b7e5eb8-62ae-44c5-8570-f4e8afd939ef}"/>
              </w:placeholder>
              <w15:color w:val="509DF3"/>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（二）项目过程情况</w:t>
              </w:r>
            </w:sdtContent>
          </w:sdt>
          <w:r>
            <w:rPr>
              <w:rFonts w:hint="eastAsia" w:ascii="方正仿宋_GBK" w:hAnsi="方正仿宋_GBK" w:eastAsia="方正仿宋_GBK" w:cs="方正仿宋_GBK"/>
              <w:sz w:val="30"/>
              <w:szCs w:val="30"/>
            </w:rPr>
            <w:tab/>
          </w:r>
          <w:bookmarkStart w:id="26" w:name="_Toc17061_WPSOffice_Level2Page"/>
          <w:r>
            <w:rPr>
              <w:rFonts w:hint="eastAsia" w:ascii="方正仿宋_GBK" w:hAnsi="方正仿宋_GBK" w:eastAsia="方正仿宋_GBK" w:cs="方正仿宋_GBK"/>
              <w:sz w:val="30"/>
              <w:szCs w:val="30"/>
            </w:rPr>
            <w:t>23</w:t>
          </w:r>
          <w:bookmarkEnd w:id="26"/>
          <w:r>
            <w:rPr>
              <w:rFonts w:hint="eastAsia" w:ascii="方正仿宋_GBK" w:hAnsi="方正仿宋_GBK" w:eastAsia="方正仿宋_GBK" w:cs="方正仿宋_GBK"/>
              <w:sz w:val="30"/>
              <w:szCs w:val="30"/>
            </w:rPr>
            <w:fldChar w:fldCharType="end"/>
          </w:r>
        </w:p>
        <w:p>
          <w:pPr>
            <w:pStyle w:val="4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_Toc13293_WPSOffice_Level2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68940"/>
              <w:placeholder>
                <w:docPart w:val="{115607cf-4721-4b0e-977b-d289f7495bcf}"/>
              </w:placeholder>
              <w15:color w:val="509DF3"/>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（三）项目产出情况</w:t>
              </w:r>
            </w:sdtContent>
          </w:sdt>
          <w:r>
            <w:rPr>
              <w:rFonts w:hint="eastAsia" w:ascii="方正仿宋_GBK" w:hAnsi="方正仿宋_GBK" w:eastAsia="方正仿宋_GBK" w:cs="方正仿宋_GBK"/>
              <w:sz w:val="30"/>
              <w:szCs w:val="30"/>
            </w:rPr>
            <w:tab/>
          </w:r>
          <w:bookmarkStart w:id="27" w:name="_Toc13293_WPSOffice_Level2Page"/>
          <w:r>
            <w:rPr>
              <w:rFonts w:hint="eastAsia" w:ascii="方正仿宋_GBK" w:hAnsi="方正仿宋_GBK" w:eastAsia="方正仿宋_GBK" w:cs="方正仿宋_GBK"/>
              <w:sz w:val="30"/>
              <w:szCs w:val="30"/>
            </w:rPr>
            <w:t>25</w:t>
          </w:r>
          <w:bookmarkEnd w:id="27"/>
          <w:r>
            <w:rPr>
              <w:rFonts w:hint="eastAsia" w:ascii="方正仿宋_GBK" w:hAnsi="方正仿宋_GBK" w:eastAsia="方正仿宋_GBK" w:cs="方正仿宋_GBK"/>
              <w:sz w:val="30"/>
              <w:szCs w:val="30"/>
            </w:rPr>
            <w:fldChar w:fldCharType="end"/>
          </w:r>
        </w:p>
        <w:p>
          <w:pPr>
            <w:pStyle w:val="4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_Toc3137_WPSOffice_Level2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68940"/>
              <w:placeholder>
                <w:docPart w:val="{2346d703-8231-4980-8dd0-cee701a84bc7}"/>
              </w:placeholder>
              <w15:color w:val="509DF3"/>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（四）项目效益情况</w:t>
              </w:r>
            </w:sdtContent>
          </w:sdt>
          <w:r>
            <w:rPr>
              <w:rFonts w:hint="eastAsia" w:ascii="方正仿宋_GBK" w:hAnsi="方正仿宋_GBK" w:eastAsia="方正仿宋_GBK" w:cs="方正仿宋_GBK"/>
              <w:sz w:val="30"/>
              <w:szCs w:val="30"/>
            </w:rPr>
            <w:tab/>
          </w:r>
          <w:bookmarkStart w:id="28" w:name="_Toc3137_WPSOffice_Level2Page"/>
          <w:r>
            <w:rPr>
              <w:rFonts w:hint="eastAsia" w:ascii="方正仿宋_GBK" w:hAnsi="方正仿宋_GBK" w:eastAsia="方正仿宋_GBK" w:cs="方正仿宋_GBK"/>
              <w:sz w:val="30"/>
              <w:szCs w:val="30"/>
            </w:rPr>
            <w:t>29</w:t>
          </w:r>
          <w:bookmarkEnd w:id="28"/>
          <w:r>
            <w:rPr>
              <w:rFonts w:hint="eastAsia" w:ascii="方正仿宋_GBK" w:hAnsi="方正仿宋_GBK" w:eastAsia="方正仿宋_GBK" w:cs="方正仿宋_GBK"/>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_Toc8982_WPSOffice_Level1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592e7747-7fb3-43cc-9a97-d123e0a160e4}"/>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五、 主要经验及做法、存在的问题及原因分析</w:t>
              </w:r>
            </w:sdtContent>
          </w:sdt>
          <w:r>
            <w:rPr>
              <w:rFonts w:hint="eastAsia" w:ascii="方正仿宋_GBK" w:hAnsi="方正仿宋_GBK" w:eastAsia="方正仿宋_GBK" w:cs="方正仿宋_GBK"/>
              <w:b/>
              <w:bCs/>
              <w:sz w:val="30"/>
              <w:szCs w:val="30"/>
            </w:rPr>
            <w:tab/>
          </w:r>
          <w:bookmarkStart w:id="29" w:name="_Toc8982_WPSOffice_Level1Page"/>
          <w:r>
            <w:rPr>
              <w:rFonts w:hint="eastAsia" w:ascii="方正仿宋_GBK" w:hAnsi="方正仿宋_GBK" w:eastAsia="方正仿宋_GBK" w:cs="方正仿宋_GBK"/>
              <w:b/>
              <w:bCs/>
              <w:sz w:val="30"/>
              <w:szCs w:val="30"/>
            </w:rPr>
            <w:t>31</w:t>
          </w:r>
          <w:bookmarkEnd w:id="29"/>
          <w:r>
            <w:rPr>
              <w:rFonts w:hint="eastAsia" w:ascii="方正仿宋_GBK" w:hAnsi="方正仿宋_GBK" w:eastAsia="方正仿宋_GBK" w:cs="方正仿宋_GBK"/>
              <w:b/>
              <w:bCs/>
              <w:sz w:val="30"/>
              <w:szCs w:val="30"/>
            </w:rPr>
            <w:fldChar w:fldCharType="end"/>
          </w:r>
        </w:p>
        <w:p>
          <w:pPr>
            <w:pStyle w:val="4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_Toc13997_WPSOffice_Level2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68940"/>
              <w:placeholder>
                <w:docPart w:val="{029c776d-4753-4f2c-8c74-c6d4725d9917}"/>
              </w:placeholder>
              <w15:color w:val="509DF3"/>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（一）主要经验及做法</w:t>
              </w:r>
            </w:sdtContent>
          </w:sdt>
          <w:r>
            <w:rPr>
              <w:rFonts w:hint="eastAsia" w:ascii="方正仿宋_GBK" w:hAnsi="方正仿宋_GBK" w:eastAsia="方正仿宋_GBK" w:cs="方正仿宋_GBK"/>
              <w:sz w:val="30"/>
              <w:szCs w:val="30"/>
            </w:rPr>
            <w:tab/>
          </w:r>
          <w:bookmarkStart w:id="30" w:name="_Toc13997_WPSOffice_Level2Page"/>
          <w:r>
            <w:rPr>
              <w:rFonts w:hint="eastAsia" w:ascii="方正仿宋_GBK" w:hAnsi="方正仿宋_GBK" w:eastAsia="方正仿宋_GBK" w:cs="方正仿宋_GBK"/>
              <w:sz w:val="30"/>
              <w:szCs w:val="30"/>
            </w:rPr>
            <w:t>31</w:t>
          </w:r>
          <w:bookmarkEnd w:id="30"/>
          <w:r>
            <w:rPr>
              <w:rFonts w:hint="eastAsia" w:ascii="方正仿宋_GBK" w:hAnsi="方正仿宋_GBK" w:eastAsia="方正仿宋_GBK" w:cs="方正仿宋_GBK"/>
              <w:sz w:val="30"/>
              <w:szCs w:val="30"/>
            </w:rPr>
            <w:fldChar w:fldCharType="end"/>
          </w:r>
        </w:p>
        <w:p>
          <w:pPr>
            <w:pStyle w:val="4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_Toc13665_WPSOffice_Level2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68940"/>
              <w:placeholder>
                <w:docPart w:val="{b80fbd35-cf02-4e76-8480-0ebc34eb9ec8}"/>
              </w:placeholder>
              <w15:color w:val="509DF3"/>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（二）存在问题与不足</w:t>
              </w:r>
            </w:sdtContent>
          </w:sdt>
          <w:r>
            <w:rPr>
              <w:rFonts w:hint="eastAsia" w:ascii="方正仿宋_GBK" w:hAnsi="方正仿宋_GBK" w:eastAsia="方正仿宋_GBK" w:cs="方正仿宋_GBK"/>
              <w:sz w:val="30"/>
              <w:szCs w:val="30"/>
            </w:rPr>
            <w:tab/>
          </w:r>
          <w:bookmarkStart w:id="31" w:name="_Toc13665_WPSOffice_Level2Page"/>
          <w:r>
            <w:rPr>
              <w:rFonts w:hint="eastAsia" w:ascii="方正仿宋_GBK" w:hAnsi="方正仿宋_GBK" w:eastAsia="方正仿宋_GBK" w:cs="方正仿宋_GBK"/>
              <w:sz w:val="30"/>
              <w:szCs w:val="30"/>
            </w:rPr>
            <w:t>31</w:t>
          </w:r>
          <w:bookmarkEnd w:id="31"/>
          <w:r>
            <w:rPr>
              <w:rFonts w:hint="eastAsia" w:ascii="方正仿宋_GBK" w:hAnsi="方正仿宋_GBK" w:eastAsia="方正仿宋_GBK" w:cs="方正仿宋_GBK"/>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_Toc17249_WPSOffice_Level1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a8b7dc4e-f425-48fd-b3aa-8f19b1bf87dd}"/>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六、相关建议</w:t>
              </w:r>
            </w:sdtContent>
          </w:sdt>
          <w:r>
            <w:rPr>
              <w:rFonts w:hint="eastAsia" w:ascii="方正仿宋_GBK" w:hAnsi="方正仿宋_GBK" w:eastAsia="方正仿宋_GBK" w:cs="方正仿宋_GBK"/>
              <w:b/>
              <w:bCs/>
              <w:sz w:val="30"/>
              <w:szCs w:val="30"/>
            </w:rPr>
            <w:tab/>
          </w:r>
          <w:bookmarkStart w:id="32" w:name="_Toc17249_WPSOffice_Level1Page"/>
          <w:r>
            <w:rPr>
              <w:rFonts w:hint="eastAsia" w:ascii="方正仿宋_GBK" w:hAnsi="方正仿宋_GBK" w:eastAsia="方正仿宋_GBK" w:cs="方正仿宋_GBK"/>
              <w:b/>
              <w:bCs/>
              <w:sz w:val="30"/>
              <w:szCs w:val="30"/>
            </w:rPr>
            <w:t>31</w:t>
          </w:r>
          <w:bookmarkEnd w:id="32"/>
          <w:r>
            <w:rPr>
              <w:rFonts w:hint="eastAsia" w:ascii="方正仿宋_GBK" w:hAnsi="方正仿宋_GBK" w:eastAsia="方正仿宋_GBK" w:cs="方正仿宋_GBK"/>
              <w:b/>
              <w:bCs/>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_Toc31548_WPSOffice_Level1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f9a3ebb8-0fd3-4637-b740-1d39fbead578}"/>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七、其他需要说明的问题</w:t>
              </w:r>
            </w:sdtContent>
          </w:sdt>
          <w:r>
            <w:rPr>
              <w:rFonts w:hint="eastAsia" w:ascii="方正仿宋_GBK" w:hAnsi="方正仿宋_GBK" w:eastAsia="方正仿宋_GBK" w:cs="方正仿宋_GBK"/>
              <w:b/>
              <w:bCs/>
              <w:sz w:val="30"/>
              <w:szCs w:val="30"/>
            </w:rPr>
            <w:tab/>
          </w:r>
          <w:bookmarkStart w:id="33" w:name="_Toc31548_WPSOffice_Level1Page"/>
          <w:r>
            <w:rPr>
              <w:rFonts w:hint="eastAsia" w:ascii="方正仿宋_GBK" w:hAnsi="方正仿宋_GBK" w:eastAsia="方正仿宋_GBK" w:cs="方正仿宋_GBK"/>
              <w:b/>
              <w:bCs/>
              <w:sz w:val="30"/>
              <w:szCs w:val="30"/>
            </w:rPr>
            <w:t>32</w:t>
          </w:r>
          <w:bookmarkEnd w:id="33"/>
          <w:r>
            <w:rPr>
              <w:rFonts w:hint="eastAsia" w:ascii="方正仿宋_GBK" w:hAnsi="方正仿宋_GBK" w:eastAsia="方正仿宋_GBK" w:cs="方正仿宋_GBK"/>
              <w:b/>
              <w:bCs/>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_Toc17061_WPSOffice_Level1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72278555-4a25-4371-b4b1-990e7be997e6}"/>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绩效结果挂钩次年预算资金安排</w:t>
              </w:r>
            </w:sdtContent>
          </w:sdt>
          <w:r>
            <w:rPr>
              <w:rFonts w:hint="eastAsia" w:ascii="方正仿宋_GBK" w:hAnsi="方正仿宋_GBK" w:eastAsia="方正仿宋_GBK" w:cs="方正仿宋_GBK"/>
              <w:b/>
              <w:bCs/>
              <w:sz w:val="30"/>
              <w:szCs w:val="30"/>
            </w:rPr>
            <w:tab/>
          </w:r>
          <w:bookmarkStart w:id="34" w:name="_Toc17061_WPSOffice_Level1Page"/>
          <w:r>
            <w:rPr>
              <w:rFonts w:hint="eastAsia" w:ascii="方正仿宋_GBK" w:hAnsi="方正仿宋_GBK" w:eastAsia="方正仿宋_GBK" w:cs="方正仿宋_GBK"/>
              <w:b/>
              <w:bCs/>
              <w:sz w:val="30"/>
              <w:szCs w:val="30"/>
            </w:rPr>
            <w:t>32</w:t>
          </w:r>
          <w:bookmarkEnd w:id="34"/>
          <w:r>
            <w:rPr>
              <w:rFonts w:hint="eastAsia" w:ascii="方正仿宋_GBK" w:hAnsi="方正仿宋_GBK" w:eastAsia="方正仿宋_GBK" w:cs="方正仿宋_GBK"/>
              <w:b/>
              <w:bCs/>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_Toc13293_WPSOffice_Level1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69977552-7104-465a-982b-9ec457d31e47}"/>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附件1部门单位项目支出绩效自评表</w:t>
              </w:r>
            </w:sdtContent>
          </w:sdt>
          <w:r>
            <w:rPr>
              <w:rFonts w:hint="eastAsia" w:ascii="方正仿宋_GBK" w:hAnsi="方正仿宋_GBK" w:eastAsia="方正仿宋_GBK" w:cs="方正仿宋_GBK"/>
              <w:b/>
              <w:bCs/>
              <w:sz w:val="30"/>
              <w:szCs w:val="30"/>
            </w:rPr>
            <w:tab/>
          </w:r>
          <w:bookmarkStart w:id="35" w:name="_Toc13293_WPSOffice_Level1Page"/>
          <w:r>
            <w:rPr>
              <w:rFonts w:hint="eastAsia" w:ascii="方正仿宋_GBK" w:hAnsi="方正仿宋_GBK" w:eastAsia="方正仿宋_GBK" w:cs="方正仿宋_GBK"/>
              <w:b/>
              <w:bCs/>
              <w:sz w:val="30"/>
              <w:szCs w:val="30"/>
            </w:rPr>
            <w:t>33</w:t>
          </w:r>
          <w:bookmarkEnd w:id="35"/>
          <w:r>
            <w:rPr>
              <w:rFonts w:hint="eastAsia" w:ascii="方正仿宋_GBK" w:hAnsi="方正仿宋_GBK" w:eastAsia="方正仿宋_GBK" w:cs="方正仿宋_GBK"/>
              <w:b/>
              <w:bCs/>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_Toc3137_WPSOffice_Level1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694a29e0-d2ce-4297-a011-9fc5bea49722}"/>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附件2项目支出绩效评价指标体系</w:t>
              </w:r>
            </w:sdtContent>
          </w:sdt>
          <w:r>
            <w:rPr>
              <w:rFonts w:hint="eastAsia" w:ascii="方正仿宋_GBK" w:hAnsi="方正仿宋_GBK" w:eastAsia="方正仿宋_GBK" w:cs="方正仿宋_GBK"/>
              <w:b/>
              <w:bCs/>
              <w:sz w:val="30"/>
              <w:szCs w:val="30"/>
            </w:rPr>
            <w:tab/>
          </w:r>
          <w:bookmarkStart w:id="36" w:name="_Toc3137_WPSOffice_Level1Page"/>
          <w:r>
            <w:rPr>
              <w:rFonts w:hint="eastAsia" w:ascii="方正仿宋_GBK" w:hAnsi="方正仿宋_GBK" w:eastAsia="方正仿宋_GBK" w:cs="方正仿宋_GBK"/>
              <w:b/>
              <w:bCs/>
              <w:sz w:val="30"/>
              <w:szCs w:val="30"/>
            </w:rPr>
            <w:t>36</w:t>
          </w:r>
          <w:bookmarkEnd w:id="36"/>
          <w:r>
            <w:rPr>
              <w:rFonts w:hint="eastAsia" w:ascii="方正仿宋_GBK" w:hAnsi="方正仿宋_GBK" w:eastAsia="方正仿宋_GBK" w:cs="方正仿宋_GBK"/>
              <w:b/>
              <w:bCs/>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_Toc13997_WPSOffice_Level1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b74fd484-e3c9-4754-a4f3-0b8004379b6f}"/>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附件3访谈报告</w:t>
              </w:r>
            </w:sdtContent>
          </w:sdt>
          <w:r>
            <w:rPr>
              <w:rFonts w:hint="eastAsia" w:ascii="方正仿宋_GBK" w:hAnsi="方正仿宋_GBK" w:eastAsia="方正仿宋_GBK" w:cs="方正仿宋_GBK"/>
              <w:b/>
              <w:bCs/>
              <w:sz w:val="30"/>
              <w:szCs w:val="30"/>
            </w:rPr>
            <w:tab/>
          </w:r>
          <w:bookmarkStart w:id="37" w:name="_Toc13997_WPSOffice_Level1Page"/>
          <w:r>
            <w:rPr>
              <w:rFonts w:hint="eastAsia" w:ascii="方正仿宋_GBK" w:hAnsi="方正仿宋_GBK" w:eastAsia="方正仿宋_GBK" w:cs="方正仿宋_GBK"/>
              <w:b/>
              <w:bCs/>
              <w:sz w:val="30"/>
              <w:szCs w:val="30"/>
            </w:rPr>
            <w:t>46</w:t>
          </w:r>
          <w:bookmarkEnd w:id="37"/>
          <w:r>
            <w:rPr>
              <w:rFonts w:hint="eastAsia" w:ascii="方正仿宋_GBK" w:hAnsi="方正仿宋_GBK" w:eastAsia="方正仿宋_GBK" w:cs="方正仿宋_GBK"/>
              <w:b/>
              <w:bCs/>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_Toc13665_WPSOffice_Level1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6c762416-5595-425c-ab30-ed9b95ecc6a8}"/>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附件4满意度调查问卷</w:t>
              </w:r>
            </w:sdtContent>
          </w:sdt>
          <w:r>
            <w:rPr>
              <w:rFonts w:hint="eastAsia" w:ascii="方正仿宋_GBK" w:hAnsi="方正仿宋_GBK" w:eastAsia="方正仿宋_GBK" w:cs="方正仿宋_GBK"/>
              <w:b/>
              <w:bCs/>
              <w:sz w:val="30"/>
              <w:szCs w:val="30"/>
            </w:rPr>
            <w:tab/>
          </w:r>
          <w:bookmarkStart w:id="38" w:name="_Toc13665_WPSOffice_Level1Page"/>
          <w:r>
            <w:rPr>
              <w:rFonts w:hint="eastAsia" w:ascii="方正仿宋_GBK" w:hAnsi="方正仿宋_GBK" w:eastAsia="方正仿宋_GBK" w:cs="方正仿宋_GBK"/>
              <w:b/>
              <w:bCs/>
              <w:sz w:val="30"/>
              <w:szCs w:val="30"/>
            </w:rPr>
            <w:t>49</w:t>
          </w:r>
          <w:bookmarkEnd w:id="38"/>
          <w:r>
            <w:rPr>
              <w:rFonts w:hint="eastAsia" w:ascii="方正仿宋_GBK" w:hAnsi="方正仿宋_GBK" w:eastAsia="方正仿宋_GBK" w:cs="方正仿宋_GBK"/>
              <w:b/>
              <w:bCs/>
              <w:sz w:val="30"/>
              <w:szCs w:val="30"/>
            </w:rPr>
            <w:fldChar w:fldCharType="end"/>
          </w:r>
        </w:p>
        <w:p>
          <w:pPr>
            <w:pStyle w:val="40"/>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_Toc14030_WPSOffice_Level1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68940"/>
              <w:placeholder>
                <w:docPart w:val="{bc199585-774c-4d06-810d-1a842be4500f}"/>
              </w:placeholder>
              <w15:color w:val="509DF3"/>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附件5现场照片</w:t>
              </w:r>
            </w:sdtContent>
          </w:sdt>
          <w:r>
            <w:rPr>
              <w:rFonts w:hint="eastAsia" w:ascii="方正仿宋_GBK" w:hAnsi="方正仿宋_GBK" w:eastAsia="方正仿宋_GBK" w:cs="方正仿宋_GBK"/>
              <w:b/>
              <w:bCs/>
              <w:sz w:val="30"/>
              <w:szCs w:val="30"/>
            </w:rPr>
            <w:tab/>
          </w:r>
          <w:bookmarkStart w:id="39" w:name="_Toc14030_WPSOffice_Level1Page"/>
          <w:r>
            <w:rPr>
              <w:rFonts w:hint="eastAsia" w:ascii="方正仿宋_GBK" w:hAnsi="方正仿宋_GBK" w:eastAsia="方正仿宋_GBK" w:cs="方正仿宋_GBK"/>
              <w:b/>
              <w:bCs/>
              <w:sz w:val="30"/>
              <w:szCs w:val="30"/>
            </w:rPr>
            <w:t>51</w:t>
          </w:r>
          <w:bookmarkEnd w:id="39"/>
          <w:r>
            <w:rPr>
              <w:rFonts w:hint="eastAsia" w:ascii="方正仿宋_GBK" w:hAnsi="方正仿宋_GBK" w:eastAsia="方正仿宋_GBK" w:cs="方正仿宋_GBK"/>
              <w:b/>
              <w:bCs/>
              <w:sz w:val="30"/>
              <w:szCs w:val="30"/>
            </w:rPr>
            <w:fldChar w:fldCharType="end"/>
          </w:r>
          <w:bookmarkEnd w:id="11"/>
        </w:p>
      </w:sdtContent>
    </w:sdt>
    <w:p>
      <w:pPr>
        <w:keepNext w:val="0"/>
        <w:keepLines w:val="0"/>
        <w:pageBreakBefore w:val="0"/>
        <w:kinsoku/>
        <w:wordWrap/>
        <w:topLinePunct w:val="0"/>
        <w:bidi w:val="0"/>
        <w:snapToGrid/>
        <w:spacing w:before="0" w:after="0" w:line="570" w:lineRule="exact"/>
        <w:ind w:right="0" w:rightChars="0"/>
        <w:jc w:val="both"/>
        <w:rPr>
          <w:rFonts w:hint="eastAsia" w:ascii="方正仿宋_GBK" w:hAnsi="方正仿宋_GBK" w:eastAsia="方正仿宋_GBK" w:cs="方正仿宋_GBK"/>
          <w:b/>
          <w:bCs/>
          <w:color w:val="auto"/>
          <w:sz w:val="30"/>
          <w:szCs w:val="30"/>
          <w:highlight w:val="none"/>
          <w:lang w:val="en-US" w:eastAsia="zh-CN"/>
        </w:rPr>
      </w:pPr>
    </w:p>
    <w:p>
      <w:pPr>
        <w:keepNext w:val="0"/>
        <w:keepLines w:val="0"/>
        <w:pageBreakBefore w:val="0"/>
        <w:kinsoku/>
        <w:wordWrap/>
        <w:topLinePunct w:val="0"/>
        <w:bidi w:val="0"/>
        <w:snapToGrid/>
        <w:spacing w:before="0" w:after="0" w:line="570" w:lineRule="exact"/>
        <w:ind w:right="0" w:rightChars="0"/>
        <w:jc w:val="both"/>
        <w:rPr>
          <w:rFonts w:hint="eastAsia" w:ascii="方正仿宋_GBK" w:hAnsi="方正仿宋_GBK" w:eastAsia="方正仿宋_GBK" w:cs="方正仿宋_GBK"/>
          <w:b/>
          <w:bCs/>
          <w:color w:val="auto"/>
          <w:sz w:val="30"/>
          <w:szCs w:val="30"/>
          <w:highlight w:val="none"/>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bookmarkStart w:id="40" w:name="_Toc17058_WPSOffice_Level1"/>
    </w:p>
    <w:p>
      <w:pPr>
        <w:keepNext w:val="0"/>
        <w:keepLines w:val="0"/>
        <w:pageBreakBefore w:val="0"/>
        <w:kinsoku/>
        <w:wordWrap/>
        <w:topLinePunct w:val="0"/>
        <w:bidi w:val="0"/>
        <w:snapToGrid/>
        <w:spacing w:before="0" w:after="0" w:line="570" w:lineRule="exact"/>
        <w:ind w:right="0" w:rightChars="0"/>
        <w:jc w:val="center"/>
        <w:rPr>
          <w:rFonts w:hint="eastAsia" w:ascii="方正小标宋_GBK" w:hAnsi="方正小标宋_GBK" w:eastAsia="方正小标宋_GBK" w:cs="方正小标宋_GBK"/>
          <w:b/>
          <w:bCs/>
          <w:color w:val="auto"/>
          <w:sz w:val="40"/>
          <w:szCs w:val="40"/>
          <w:highlight w:val="none"/>
          <w:lang w:val="en-US" w:eastAsia="zh-CN"/>
        </w:rPr>
      </w:pPr>
      <w:bookmarkStart w:id="41" w:name="_Toc18677_WPSOffice_Level1"/>
      <w:bookmarkStart w:id="42" w:name="_Toc14241_WPSOffice_Level1"/>
      <w:r>
        <w:rPr>
          <w:rFonts w:hint="eastAsia" w:ascii="方正小标宋_GBK" w:hAnsi="方正小标宋_GBK" w:eastAsia="方正小标宋_GBK" w:cs="方正小标宋_GBK"/>
          <w:b/>
          <w:bCs/>
          <w:color w:val="auto"/>
          <w:sz w:val="40"/>
          <w:szCs w:val="40"/>
          <w:highlight w:val="none"/>
          <w:lang w:val="en-US" w:eastAsia="zh-CN"/>
        </w:rPr>
        <w:t>伽师县农技中心2022年第三次全国土壤普查</w:t>
      </w:r>
      <w:bookmarkEnd w:id="41"/>
    </w:p>
    <w:p>
      <w:pPr>
        <w:keepNext w:val="0"/>
        <w:keepLines w:val="0"/>
        <w:pageBreakBefore w:val="0"/>
        <w:kinsoku/>
        <w:wordWrap/>
        <w:topLinePunct w:val="0"/>
        <w:bidi w:val="0"/>
        <w:snapToGrid/>
        <w:spacing w:before="0" w:after="0" w:line="570" w:lineRule="exact"/>
        <w:ind w:right="0" w:rightChars="0"/>
        <w:jc w:val="center"/>
        <w:rPr>
          <w:rFonts w:hint="eastAsia" w:ascii="方正小标宋_GBK" w:hAnsi="方正小标宋_GBK" w:eastAsia="方正小标宋_GBK" w:cs="方正小标宋_GBK"/>
          <w:color w:val="auto"/>
          <w:sz w:val="40"/>
          <w:szCs w:val="40"/>
          <w:highlight w:val="none"/>
          <w:lang w:val="en-US" w:eastAsia="zh-CN"/>
        </w:rPr>
      </w:pPr>
      <w:bookmarkStart w:id="43" w:name="_Toc7771_WPSOffice_Level1"/>
      <w:r>
        <w:rPr>
          <w:rFonts w:hint="eastAsia" w:ascii="方正小标宋_GBK" w:hAnsi="方正小标宋_GBK" w:eastAsia="方正小标宋_GBK" w:cs="方正小标宋_GBK"/>
          <w:b/>
          <w:bCs/>
          <w:color w:val="auto"/>
          <w:sz w:val="40"/>
          <w:szCs w:val="40"/>
          <w:highlight w:val="none"/>
          <w:lang w:val="en-US" w:eastAsia="zh-CN"/>
        </w:rPr>
        <w:t>工作项目预算绩效评价报告</w:t>
      </w:r>
      <w:bookmarkEnd w:id="40"/>
      <w:bookmarkEnd w:id="42"/>
      <w:bookmarkEnd w:id="43"/>
    </w:p>
    <w:p>
      <w:pPr>
        <w:pStyle w:val="29"/>
        <w:keepNext w:val="0"/>
        <w:keepLines w:val="0"/>
        <w:pageBreakBefore w:val="0"/>
        <w:widowControl/>
        <w:kinsoku/>
        <w:wordWrap/>
        <w:topLinePunct w:val="0"/>
        <w:bidi w:val="0"/>
        <w:snapToGrid/>
        <w:spacing w:line="570" w:lineRule="exact"/>
        <w:ind w:firstLine="664" w:firstLineChars="200"/>
        <w:jc w:val="both"/>
        <w:rPr>
          <w:rFonts w:hint="default" w:ascii="Times New Roman" w:hAnsi="Times New Roman" w:cs="Times New Roman"/>
          <w:color w:val="auto"/>
          <w:highlight w:val="none"/>
        </w:rPr>
      </w:pPr>
    </w:p>
    <w:p>
      <w:pPr>
        <w:pStyle w:val="29"/>
        <w:keepNext w:val="0"/>
        <w:keepLines w:val="0"/>
        <w:pageBreakBefore w:val="0"/>
        <w:widowControl/>
        <w:kinsoku/>
        <w:wordWrap/>
        <w:overflowPunct/>
        <w:topLinePunct w:val="0"/>
        <w:autoSpaceDE/>
        <w:autoSpaceDN/>
        <w:bidi w:val="0"/>
        <w:adjustRightInd/>
        <w:snapToGrid/>
        <w:spacing w:line="570" w:lineRule="exact"/>
        <w:ind w:firstLine="664"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rPr>
        <w:t>受</w:t>
      </w:r>
      <w:r>
        <w:rPr>
          <w:rFonts w:hint="eastAsia" w:ascii="方正仿宋_GBK" w:hAnsi="方正仿宋_GBK" w:eastAsia="方正仿宋_GBK" w:cs="方正仿宋_GBK"/>
          <w:color w:val="auto"/>
          <w:sz w:val="32"/>
          <w:szCs w:val="32"/>
          <w:highlight w:val="none"/>
          <w:lang w:eastAsia="zh-CN"/>
        </w:rPr>
        <w:t>喀什地区伽师县财政局</w:t>
      </w:r>
      <w:r>
        <w:rPr>
          <w:rFonts w:hint="eastAsia" w:ascii="方正仿宋_GBK" w:hAnsi="方正仿宋_GBK" w:eastAsia="方正仿宋_GBK" w:cs="方正仿宋_GBK"/>
          <w:color w:val="auto"/>
          <w:sz w:val="32"/>
          <w:szCs w:val="32"/>
          <w:highlight w:val="none"/>
        </w:rPr>
        <w:t>委托，</w:t>
      </w:r>
      <w:r>
        <w:rPr>
          <w:rFonts w:hint="eastAsia" w:ascii="方正仿宋_GBK" w:hAnsi="方正仿宋_GBK" w:eastAsia="方正仿宋_GBK" w:cs="方正仿宋_GBK"/>
          <w:color w:val="auto"/>
          <w:sz w:val="32"/>
          <w:szCs w:val="32"/>
          <w:highlight w:val="none"/>
          <w:lang w:val="en-US" w:eastAsia="zh-CN"/>
        </w:rPr>
        <w:t>新疆永信中正项目管理咨询有限公司于2023年4月6日至2023年6月10日对伽师县农技推广中心负责管理</w:t>
      </w:r>
      <w:r>
        <w:rPr>
          <w:rFonts w:hint="eastAsia" w:ascii="方正仿宋_GBK" w:hAnsi="方正仿宋_GBK" w:eastAsia="方正仿宋_GBK" w:cs="方正仿宋_GBK"/>
          <w:color w:val="auto"/>
          <w:sz w:val="32"/>
          <w:szCs w:val="32"/>
          <w:highlight w:val="none"/>
          <w:lang w:val="en-US" w:eastAsia="zh-Hans"/>
        </w:rPr>
        <w:t>实施</w:t>
      </w:r>
      <w:r>
        <w:rPr>
          <w:rFonts w:hint="eastAsia" w:ascii="方正仿宋_GBK" w:hAnsi="方正仿宋_GBK" w:eastAsia="方正仿宋_GBK" w:cs="方正仿宋_GBK"/>
          <w:color w:val="auto"/>
          <w:sz w:val="32"/>
          <w:szCs w:val="32"/>
          <w:highlight w:val="none"/>
          <w:lang w:val="en-US" w:eastAsia="zh-CN"/>
        </w:rPr>
        <w:t>的伽师县农技中心2022年第三次全国土壤普查工作项目开展了绩效评价，评价情况如下：</w:t>
      </w:r>
    </w:p>
    <w:p>
      <w:pPr>
        <w:pStyle w:val="29"/>
        <w:keepNext w:val="0"/>
        <w:keepLines w:val="0"/>
        <w:pageBreakBefore w:val="0"/>
        <w:widowControl/>
        <w:kinsoku/>
        <w:wordWrap/>
        <w:overflowPunct/>
        <w:topLinePunct w:val="0"/>
        <w:autoSpaceDE/>
        <w:autoSpaceDN/>
        <w:bidi w:val="0"/>
        <w:adjustRightInd/>
        <w:snapToGrid/>
        <w:spacing w:line="570" w:lineRule="exact"/>
        <w:ind w:firstLine="664" w:firstLineChars="200"/>
        <w:jc w:val="both"/>
        <w:textAlignment w:val="auto"/>
        <w:rPr>
          <w:rFonts w:hint="eastAsia" w:ascii="方正黑体_GBK" w:hAnsi="方正黑体_GBK" w:eastAsia="方正黑体_GBK" w:cs="方正黑体_GBK"/>
          <w:color w:val="auto"/>
          <w:highlight w:val="none"/>
          <w:lang w:val="en-US" w:eastAsia="zh-CN"/>
        </w:rPr>
      </w:pPr>
      <w:bookmarkStart w:id="44" w:name="_Toc25910_WPSOffice_Level1"/>
      <w:bookmarkStart w:id="45" w:name="_Toc31250"/>
      <w:bookmarkStart w:id="46" w:name="_Toc11862"/>
      <w:bookmarkStart w:id="47" w:name="_Toc31606"/>
      <w:bookmarkStart w:id="48" w:name="_Toc10466"/>
      <w:bookmarkStart w:id="49" w:name="_Toc16578"/>
      <w:r>
        <w:rPr>
          <w:rFonts w:hint="eastAsia" w:ascii="方正黑体_GBK" w:hAnsi="方正黑体_GBK" w:eastAsia="方正黑体_GBK" w:cs="方正黑体_GBK"/>
          <w:color w:val="auto"/>
          <w:highlight w:val="none"/>
          <w:lang w:val="en-US" w:eastAsia="zh-CN"/>
        </w:rPr>
        <w:t>一、基本情况</w:t>
      </w:r>
      <w:bookmarkEnd w:id="44"/>
    </w:p>
    <w:p>
      <w:pPr>
        <w:pStyle w:val="29"/>
        <w:keepNext w:val="0"/>
        <w:keepLines w:val="0"/>
        <w:pageBreakBefore w:val="0"/>
        <w:widowControl/>
        <w:kinsoku/>
        <w:wordWrap/>
        <w:overflowPunct/>
        <w:topLinePunct w:val="0"/>
        <w:autoSpaceDE/>
        <w:autoSpaceDN/>
        <w:bidi w:val="0"/>
        <w:adjustRightInd/>
        <w:snapToGrid/>
        <w:spacing w:line="570" w:lineRule="exact"/>
        <w:ind w:firstLine="667" w:firstLineChars="200"/>
        <w:jc w:val="both"/>
        <w:textAlignment w:val="auto"/>
        <w:rPr>
          <w:rFonts w:hint="eastAsia" w:ascii="方正楷体_GBK" w:hAnsi="方正楷体_GBK" w:eastAsia="方正楷体_GBK" w:cs="方正楷体_GBK"/>
          <w:b/>
          <w:bCs/>
          <w:color w:val="auto"/>
          <w:highlight w:val="none"/>
          <w:lang w:val="en-US" w:eastAsia="zh-CN"/>
        </w:rPr>
      </w:pPr>
      <w:bookmarkStart w:id="50" w:name="_Toc7771_WPSOffice_Level2"/>
      <w:r>
        <w:rPr>
          <w:rFonts w:hint="eastAsia" w:ascii="方正楷体_GBK" w:hAnsi="方正楷体_GBK" w:eastAsia="方正楷体_GBK" w:cs="方正楷体_GBK"/>
          <w:b/>
          <w:bCs/>
          <w:color w:val="auto"/>
          <w:highlight w:val="none"/>
          <w:lang w:val="en-US" w:eastAsia="zh-CN"/>
        </w:rPr>
        <w:t>（一）</w:t>
      </w:r>
      <w:bookmarkEnd w:id="45"/>
      <w:bookmarkEnd w:id="46"/>
      <w:bookmarkEnd w:id="47"/>
      <w:bookmarkEnd w:id="48"/>
      <w:bookmarkEnd w:id="49"/>
      <w:r>
        <w:rPr>
          <w:rFonts w:hint="eastAsia" w:ascii="方正楷体_GBK" w:hAnsi="方正楷体_GBK" w:eastAsia="方正楷体_GBK" w:cs="方正楷体_GBK"/>
          <w:b/>
          <w:bCs/>
          <w:color w:val="auto"/>
          <w:highlight w:val="none"/>
          <w:lang w:val="en-US" w:eastAsia="zh-CN"/>
        </w:rPr>
        <w:t>项目概况</w:t>
      </w:r>
      <w:bookmarkEnd w:id="50"/>
    </w:p>
    <w:p>
      <w:pPr>
        <w:pStyle w:val="29"/>
        <w:keepNext w:val="0"/>
        <w:keepLines w:val="0"/>
        <w:pageBreakBefore w:val="0"/>
        <w:widowControl/>
        <w:kinsoku/>
        <w:wordWrap/>
        <w:overflowPunct/>
        <w:topLinePunct w:val="0"/>
        <w:autoSpaceDE/>
        <w:autoSpaceDN/>
        <w:bidi w:val="0"/>
        <w:adjustRightInd/>
        <w:snapToGrid/>
        <w:spacing w:line="570" w:lineRule="exact"/>
        <w:ind w:firstLine="667" w:firstLineChars="200"/>
        <w:jc w:val="both"/>
        <w:textAlignment w:val="auto"/>
        <w:rPr>
          <w:rFonts w:hint="eastAsia" w:ascii="方正仿宋_GBK" w:hAnsi="方正仿宋_GBK" w:eastAsia="方正仿宋_GBK" w:cs="方正仿宋_GBK"/>
          <w:b/>
          <w:bCs/>
          <w:color w:val="auto"/>
          <w:spacing w:val="6"/>
          <w:kern w:val="0"/>
          <w:sz w:val="32"/>
          <w:szCs w:val="32"/>
          <w:highlight w:val="none"/>
          <w:lang w:val="en-US" w:eastAsia="zh-CN" w:bidi="ar"/>
        </w:rPr>
      </w:pPr>
      <w:r>
        <w:rPr>
          <w:rFonts w:hint="eastAsia" w:ascii="方正仿宋_GBK" w:hAnsi="方正仿宋_GBK" w:eastAsia="方正仿宋_GBK" w:cs="方正仿宋_GBK"/>
          <w:b/>
          <w:bCs/>
          <w:color w:val="auto"/>
          <w:spacing w:val="6"/>
          <w:kern w:val="0"/>
          <w:sz w:val="32"/>
          <w:szCs w:val="32"/>
          <w:highlight w:val="none"/>
          <w:lang w:val="en-US" w:eastAsia="zh-CN" w:bidi="ar"/>
        </w:rPr>
        <w:t>1.项目背景</w:t>
      </w:r>
    </w:p>
    <w:p>
      <w:pPr>
        <w:pStyle w:val="29"/>
        <w:keepNext w:val="0"/>
        <w:keepLines w:val="0"/>
        <w:pageBreakBefore w:val="0"/>
        <w:widowControl/>
        <w:kinsoku/>
        <w:wordWrap/>
        <w:overflowPunct/>
        <w:topLinePunct w:val="0"/>
        <w:autoSpaceDE/>
        <w:autoSpaceDN/>
        <w:bidi w:val="0"/>
        <w:adjustRightInd/>
        <w:snapToGrid/>
        <w:spacing w:line="570" w:lineRule="exact"/>
        <w:ind w:firstLine="664" w:firstLineChars="200"/>
        <w:jc w:val="both"/>
        <w:textAlignment w:val="auto"/>
        <w:rPr>
          <w:rFonts w:hint="eastAsia" w:ascii="方正仿宋_GBK" w:hAnsi="方正仿宋_GBK" w:eastAsia="方正仿宋_GBK" w:cs="方正仿宋_GBK"/>
          <w:color w:val="auto"/>
          <w:sz w:val="32"/>
          <w:szCs w:val="32"/>
          <w:highlight w:val="none"/>
          <w:lang w:val="en-US" w:eastAsia="zh-CN"/>
        </w:rPr>
        <w:sectPr>
          <w:footerReference r:id="rId4" w:type="default"/>
          <w:pgSz w:w="11906" w:h="16838"/>
          <w:pgMar w:top="1984" w:right="1531" w:bottom="1701" w:left="1531" w:header="851" w:footer="992" w:gutter="0"/>
          <w:pgNumType w:fmt="numberInDash" w:start="1"/>
          <w:cols w:space="425" w:num="1"/>
          <w:docGrid w:type="lines" w:linePitch="312" w:charSpace="0"/>
        </w:sectPr>
      </w:pPr>
      <w:r>
        <w:rPr>
          <w:rFonts w:hint="eastAsia" w:ascii="方正仿宋_GBK" w:hAnsi="方正仿宋_GBK" w:eastAsia="方正仿宋_GBK" w:cs="方正仿宋_GBK"/>
          <w:color w:val="auto"/>
          <w:sz w:val="32"/>
          <w:szCs w:val="32"/>
          <w:highlight w:val="none"/>
          <w:lang w:val="en-US" w:eastAsia="zh-CN"/>
        </w:rPr>
        <w:t>开展第三次全国土壤普查是守牢耕地红线确保国家粮食安全的重要基础，是落实高质量发展要求加快农业农村现代化的重要支撑，是保护环境促进生态文明建设的重要举措，是优化农业生产布局助力乡村产业振兴的有效途径。为准确掌握土壤质量和利用状况，全面提升土壤资源保护和利用水平，保护生态环境，确保到2025年实现对全县耕地、园地、林地、盐碱地、草地等土壤“全面体检”，摸清土壤质量，守住耕地红线，保护生态环境优化农业生产布局推进，伽师县以习近平新时代中国特色社会主义思想为指导，全面贯彻党的十九大和十九届历次全会精神，弘扬伟大建党精神，完整、准确、全面贯彻新发展理念，全面查明查清伽师县土壤类型及分布规律、土壤资源现状及变化趋势，真实准确掌握土壤质量、性状和利用状况等基础数据，提升土壤资源保护和利用水平，为守住耕地</w:t>
      </w:r>
    </w:p>
    <w:p>
      <w:pPr>
        <w:pStyle w:val="29"/>
        <w:keepNext w:val="0"/>
        <w:keepLines w:val="0"/>
        <w:pageBreakBefore w:val="0"/>
        <w:widowControl/>
        <w:kinsoku/>
        <w:wordWrap/>
        <w:overflowPunct/>
        <w:topLinePunct w:val="0"/>
        <w:autoSpaceDE/>
        <w:autoSpaceDN/>
        <w:bidi w:val="0"/>
        <w:adjustRightInd/>
        <w:snapToGrid/>
        <w:spacing w:line="570" w:lineRule="exact"/>
        <w:ind w:firstLine="664"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红线、优化农业生产布局、确保国家粮食安全奠定坚实基础，为加快农业农村现代化、全面推进乡村振兴、促进生态文明建设提供有力支撑，开展伽师县2022年第三次全国土壤普查工作。</w:t>
      </w:r>
    </w:p>
    <w:p>
      <w:pPr>
        <w:pStyle w:val="29"/>
        <w:keepNext w:val="0"/>
        <w:keepLines w:val="0"/>
        <w:pageBreakBefore w:val="0"/>
        <w:widowControl/>
        <w:kinsoku/>
        <w:wordWrap/>
        <w:overflowPunct/>
        <w:topLinePunct w:val="0"/>
        <w:autoSpaceDE/>
        <w:autoSpaceDN/>
        <w:bidi w:val="0"/>
        <w:adjustRightInd/>
        <w:snapToGrid/>
        <w:spacing w:line="570" w:lineRule="exact"/>
        <w:ind w:firstLine="667" w:firstLineChars="200"/>
        <w:jc w:val="both"/>
        <w:textAlignment w:val="auto"/>
        <w:rPr>
          <w:rFonts w:hint="eastAsia" w:ascii="方正仿宋_GBK" w:hAnsi="方正仿宋_GBK" w:eastAsia="方正仿宋_GBK" w:cs="方正仿宋_GBK"/>
          <w:b/>
          <w:bCs/>
          <w:color w:val="auto"/>
          <w:sz w:val="32"/>
          <w:szCs w:val="32"/>
          <w:highlight w:val="none"/>
          <w:lang w:val="en-US" w:eastAsia="zh-CN"/>
        </w:rPr>
      </w:pPr>
      <w:r>
        <w:rPr>
          <w:rFonts w:hint="eastAsia" w:ascii="方正仿宋_GBK" w:hAnsi="方正仿宋_GBK" w:eastAsia="方正仿宋_GBK" w:cs="方正仿宋_GBK"/>
          <w:b/>
          <w:bCs/>
          <w:color w:val="auto"/>
          <w:sz w:val="32"/>
          <w:szCs w:val="32"/>
          <w:highlight w:val="none"/>
          <w:lang w:val="en-US" w:eastAsia="zh-CN"/>
        </w:rPr>
        <w:t>2.项目内容及实施情况</w:t>
      </w:r>
    </w:p>
    <w:p>
      <w:pPr>
        <w:pStyle w:val="29"/>
        <w:keepNext w:val="0"/>
        <w:keepLines w:val="0"/>
        <w:pageBreakBefore w:val="0"/>
        <w:widowControl/>
        <w:kinsoku/>
        <w:wordWrap/>
        <w:overflowPunct/>
        <w:topLinePunct w:val="0"/>
        <w:autoSpaceDE/>
        <w:autoSpaceDN/>
        <w:bidi w:val="0"/>
        <w:adjustRightInd/>
        <w:snapToGrid/>
        <w:spacing w:line="570" w:lineRule="exact"/>
        <w:ind w:firstLine="667" w:firstLineChars="200"/>
        <w:jc w:val="both"/>
        <w:textAlignment w:val="auto"/>
        <w:rPr>
          <w:rFonts w:hint="eastAsia" w:ascii="方正仿宋_GBK" w:hAnsi="方正仿宋_GBK" w:eastAsia="方正仿宋_GBK" w:cs="方正仿宋_GBK"/>
          <w:b/>
          <w:bCs/>
          <w:color w:val="auto"/>
          <w:sz w:val="32"/>
          <w:szCs w:val="32"/>
          <w:highlight w:val="none"/>
          <w:lang w:val="en-US" w:eastAsia="zh-CN"/>
        </w:rPr>
      </w:pPr>
      <w:r>
        <w:rPr>
          <w:rFonts w:hint="eastAsia" w:ascii="方正仿宋_GBK" w:hAnsi="方正仿宋_GBK" w:eastAsia="方正仿宋_GBK" w:cs="方正仿宋_GBK"/>
          <w:b/>
          <w:bCs/>
          <w:color w:val="auto"/>
          <w:sz w:val="32"/>
          <w:szCs w:val="32"/>
          <w:highlight w:val="none"/>
          <w:lang w:val="en-US" w:eastAsia="zh-CN"/>
        </w:rPr>
        <w:t>（1）主要内容：</w:t>
      </w:r>
    </w:p>
    <w:p>
      <w:pPr>
        <w:pStyle w:val="29"/>
        <w:keepNext w:val="0"/>
        <w:keepLines w:val="0"/>
        <w:pageBreakBefore w:val="0"/>
        <w:widowControl/>
        <w:kinsoku/>
        <w:wordWrap/>
        <w:overflowPunct/>
        <w:topLinePunct w:val="0"/>
        <w:autoSpaceDE/>
        <w:autoSpaceDN/>
        <w:bidi w:val="0"/>
        <w:adjustRightInd/>
        <w:snapToGrid/>
        <w:spacing w:line="570" w:lineRule="exact"/>
        <w:ind w:firstLine="664"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该项目根据《关于下达2022年中央农业资源及生态保护补助资金预算的通知》（喀地财农〔2022〕12号）下达预算资金119.88万元，主要用于对土壤样品进行处理并检测分析，（采集土壤样品流转费8.35万元、土壤样品检测分析费用102.05万元、购置取土壤样品的耗材成1.474万元、购买土壤样品的工具成本8万元），本项目的实施对我县土壤类型及分布规律、土壤资源现状及变化趋势，真实准确掌握土壤资源质量、性状和利用状况等基础数据，为土壤科学分类、规划利用、改良培肥、保护管理等提供科学支撑，为全县制定经济社会发展和生态建设等重大政策提供决策依据。</w:t>
      </w:r>
    </w:p>
    <w:p>
      <w:pPr>
        <w:pStyle w:val="29"/>
        <w:keepNext w:val="0"/>
        <w:keepLines w:val="0"/>
        <w:pageBreakBefore w:val="0"/>
        <w:widowControl/>
        <w:kinsoku/>
        <w:wordWrap/>
        <w:overflowPunct/>
        <w:topLinePunct w:val="0"/>
        <w:autoSpaceDE/>
        <w:autoSpaceDN/>
        <w:bidi w:val="0"/>
        <w:adjustRightInd/>
        <w:snapToGrid/>
        <w:spacing w:line="570" w:lineRule="exact"/>
        <w:ind w:firstLine="667" w:firstLineChars="200"/>
        <w:jc w:val="both"/>
        <w:textAlignment w:val="auto"/>
        <w:rPr>
          <w:rFonts w:hint="eastAsia" w:ascii="方正仿宋_GBK" w:hAnsi="方正仿宋_GBK" w:eastAsia="方正仿宋_GBK" w:cs="方正仿宋_GBK"/>
          <w:b/>
          <w:bCs/>
          <w:color w:val="auto"/>
          <w:sz w:val="32"/>
          <w:szCs w:val="32"/>
          <w:highlight w:val="none"/>
          <w:lang w:val="en-US" w:eastAsia="zh-CN"/>
        </w:rPr>
      </w:pPr>
      <w:r>
        <w:rPr>
          <w:rFonts w:hint="eastAsia" w:ascii="方正仿宋_GBK" w:hAnsi="方正仿宋_GBK" w:eastAsia="方正仿宋_GBK" w:cs="方正仿宋_GBK"/>
          <w:b/>
          <w:bCs/>
          <w:color w:val="auto"/>
          <w:sz w:val="32"/>
          <w:szCs w:val="32"/>
          <w:highlight w:val="none"/>
          <w:lang w:val="en-US" w:eastAsia="zh-CN"/>
        </w:rPr>
        <w:t>（2）实施情况</w:t>
      </w:r>
    </w:p>
    <w:p>
      <w:pPr>
        <w:pStyle w:val="29"/>
        <w:keepNext w:val="0"/>
        <w:keepLines w:val="0"/>
        <w:pageBreakBefore w:val="0"/>
        <w:widowControl/>
        <w:kinsoku/>
        <w:wordWrap/>
        <w:overflowPunct/>
        <w:topLinePunct w:val="0"/>
        <w:autoSpaceDE/>
        <w:autoSpaceDN/>
        <w:bidi w:val="0"/>
        <w:adjustRightInd/>
        <w:snapToGrid/>
        <w:spacing w:line="570" w:lineRule="exact"/>
        <w:ind w:firstLine="664"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实施主体：伽师县农业技术推广中心</w:t>
      </w:r>
    </w:p>
    <w:p>
      <w:pPr>
        <w:pStyle w:val="29"/>
        <w:keepNext w:val="0"/>
        <w:keepLines w:val="0"/>
        <w:pageBreakBefore w:val="0"/>
        <w:widowControl/>
        <w:kinsoku/>
        <w:wordWrap/>
        <w:overflowPunct/>
        <w:topLinePunct w:val="0"/>
        <w:autoSpaceDE/>
        <w:autoSpaceDN/>
        <w:bidi w:val="0"/>
        <w:adjustRightInd/>
        <w:snapToGrid/>
        <w:spacing w:line="570" w:lineRule="exact"/>
        <w:ind w:firstLine="664"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实施时间：2022年7月-2022年12月</w:t>
      </w:r>
    </w:p>
    <w:p>
      <w:pPr>
        <w:pStyle w:val="29"/>
        <w:keepNext w:val="0"/>
        <w:keepLines w:val="0"/>
        <w:pageBreakBefore w:val="0"/>
        <w:widowControl/>
        <w:kinsoku/>
        <w:wordWrap/>
        <w:overflowPunct/>
        <w:topLinePunct w:val="0"/>
        <w:autoSpaceDE/>
        <w:autoSpaceDN/>
        <w:bidi w:val="0"/>
        <w:adjustRightInd/>
        <w:snapToGrid/>
        <w:spacing w:line="570" w:lineRule="exact"/>
        <w:ind w:firstLine="664"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项目实施情况：该项目根据《关于下达2022年中央农业资源及生态保护补助资金预算的通知》（喀地财农〔2022〕12号）文件，下达资金119.88万元，根据《国务院关于开展第三次全国土壤普查工作的通知》《第三次全国土壤普查技术规程》要求，结合《自治区第三次全国土壤普查工作实施方案》，结合我县实际，制定实施方案，为了更好地完成项目成立了县第三次全国土壤普查领导小组，及时收集资料，以县、乡（镇）农技人员为主，根据所承担任务量组建11支（5-8名）表层土取样调查队伍，负责样点点位信息确认、调查与填报、样品采集、土样容重检测等工作;组建外业样品流转队伍，负责收集、核查、分类整理调查采样队采集的土壤样品和流转样品转至检测实验室等工作。项目实施后，真实准确掌握土壤质量和利用状况，全面提升土壤资源保护和利用水平，保护生态环境，优化农业生产布局，推动农业高质量发展。</w:t>
      </w:r>
    </w:p>
    <w:p>
      <w:pPr>
        <w:pStyle w:val="29"/>
        <w:keepNext w:val="0"/>
        <w:keepLines w:val="0"/>
        <w:pageBreakBefore w:val="0"/>
        <w:widowControl/>
        <w:kinsoku/>
        <w:wordWrap/>
        <w:overflowPunct/>
        <w:topLinePunct w:val="0"/>
        <w:autoSpaceDE/>
        <w:autoSpaceDN/>
        <w:bidi w:val="0"/>
        <w:adjustRightInd/>
        <w:snapToGrid/>
        <w:spacing w:line="570" w:lineRule="exact"/>
        <w:ind w:firstLine="667" w:firstLineChars="200"/>
        <w:jc w:val="both"/>
        <w:textAlignment w:val="auto"/>
        <w:rPr>
          <w:rFonts w:hint="default" w:ascii="方正仿宋_GBK" w:hAnsi="方正仿宋_GBK" w:eastAsia="方正仿宋_GBK" w:cs="方正仿宋_GBK"/>
          <w:b/>
          <w:bCs/>
          <w:color w:val="auto"/>
          <w:sz w:val="32"/>
          <w:szCs w:val="32"/>
          <w:highlight w:val="none"/>
          <w:lang w:val="en-US" w:eastAsia="zh-CN"/>
        </w:rPr>
      </w:pPr>
      <w:r>
        <w:rPr>
          <w:rFonts w:hint="default" w:ascii="方正仿宋_GBK" w:hAnsi="方正仿宋_GBK" w:eastAsia="方正仿宋_GBK" w:cs="方正仿宋_GBK"/>
          <w:b/>
          <w:bCs/>
          <w:color w:val="auto"/>
          <w:sz w:val="32"/>
          <w:szCs w:val="32"/>
          <w:highlight w:val="none"/>
          <w:lang w:val="en-US" w:eastAsia="zh-CN"/>
        </w:rPr>
        <w:t>3.评价时段</w:t>
      </w:r>
    </w:p>
    <w:p>
      <w:pPr>
        <w:pStyle w:val="29"/>
        <w:keepNext w:val="0"/>
        <w:keepLines w:val="0"/>
        <w:pageBreakBefore w:val="0"/>
        <w:widowControl/>
        <w:kinsoku/>
        <w:wordWrap/>
        <w:overflowPunct/>
        <w:topLinePunct w:val="0"/>
        <w:autoSpaceDE/>
        <w:autoSpaceDN/>
        <w:bidi w:val="0"/>
        <w:adjustRightInd/>
        <w:snapToGrid/>
        <w:spacing w:line="570" w:lineRule="exact"/>
        <w:ind w:firstLine="664" w:firstLineChars="200"/>
        <w:jc w:val="both"/>
        <w:textAlignment w:val="auto"/>
        <w:rPr>
          <w:rFonts w:hint="default" w:ascii="方正仿宋_GBK" w:hAnsi="方正仿宋_GBK" w:eastAsia="方正仿宋_GBK" w:cs="方正仿宋_GBK"/>
          <w:color w:val="auto"/>
          <w:sz w:val="32"/>
          <w:szCs w:val="32"/>
          <w:highlight w:val="none"/>
          <w:lang w:val="en-US" w:eastAsia="zh-CN"/>
        </w:rPr>
      </w:pPr>
      <w:bookmarkStart w:id="51" w:name="_Toc19584"/>
      <w:bookmarkStart w:id="52" w:name="_Toc12750"/>
      <w:bookmarkStart w:id="53" w:name="_Toc31648"/>
      <w:bookmarkStart w:id="54" w:name="_Toc25161"/>
      <w:bookmarkStart w:id="55" w:name="_Toc13099"/>
      <w:bookmarkStart w:id="56" w:name="_Toc26519"/>
      <w:bookmarkStart w:id="57" w:name="_Toc4508"/>
      <w:bookmarkStart w:id="58" w:name="_Toc7296"/>
      <w:r>
        <w:rPr>
          <w:rFonts w:hint="default" w:ascii="方正仿宋_GBK" w:hAnsi="方正仿宋_GBK" w:eastAsia="方正仿宋_GBK" w:cs="方正仿宋_GBK"/>
          <w:color w:val="auto"/>
          <w:sz w:val="32"/>
          <w:szCs w:val="32"/>
          <w:highlight w:val="none"/>
          <w:lang w:val="en-US" w:eastAsia="zh-CN"/>
        </w:rPr>
        <w:t>本项目资金的评价时段为20</w:t>
      </w:r>
      <w:r>
        <w:rPr>
          <w:rFonts w:hint="eastAsia" w:ascii="方正仿宋_GBK" w:hAnsi="方正仿宋_GBK" w:eastAsia="方正仿宋_GBK" w:cs="方正仿宋_GBK"/>
          <w:color w:val="auto"/>
          <w:sz w:val="32"/>
          <w:szCs w:val="32"/>
          <w:highlight w:val="none"/>
          <w:lang w:val="en-US" w:eastAsia="zh-CN"/>
        </w:rPr>
        <w:t>22</w:t>
      </w:r>
      <w:r>
        <w:rPr>
          <w:rFonts w:hint="default" w:ascii="方正仿宋_GBK" w:hAnsi="方正仿宋_GBK" w:eastAsia="方正仿宋_GBK" w:cs="方正仿宋_GBK"/>
          <w:color w:val="auto"/>
          <w:sz w:val="32"/>
          <w:szCs w:val="32"/>
          <w:highlight w:val="none"/>
          <w:lang w:val="en-US" w:eastAsia="zh-CN"/>
        </w:rPr>
        <w:t>年</w:t>
      </w:r>
      <w:r>
        <w:rPr>
          <w:rFonts w:hint="eastAsia" w:ascii="方正仿宋_GBK" w:hAnsi="方正仿宋_GBK" w:eastAsia="方正仿宋_GBK" w:cs="方正仿宋_GBK"/>
          <w:color w:val="auto"/>
          <w:sz w:val="32"/>
          <w:szCs w:val="32"/>
          <w:highlight w:val="none"/>
          <w:lang w:val="en-US" w:eastAsia="zh-CN"/>
        </w:rPr>
        <w:t>1</w:t>
      </w:r>
      <w:r>
        <w:rPr>
          <w:rFonts w:hint="default" w:ascii="方正仿宋_GBK" w:hAnsi="方正仿宋_GBK" w:eastAsia="方正仿宋_GBK" w:cs="方正仿宋_GBK"/>
          <w:color w:val="auto"/>
          <w:sz w:val="32"/>
          <w:szCs w:val="32"/>
          <w:highlight w:val="none"/>
          <w:lang w:val="en-US" w:eastAsia="zh-CN"/>
        </w:rPr>
        <w:t>月</w:t>
      </w:r>
      <w:r>
        <w:rPr>
          <w:rFonts w:hint="eastAsia" w:ascii="方正仿宋_GBK" w:hAnsi="方正仿宋_GBK" w:eastAsia="方正仿宋_GBK" w:cs="方正仿宋_GBK"/>
          <w:color w:val="auto"/>
          <w:sz w:val="32"/>
          <w:szCs w:val="32"/>
          <w:highlight w:val="none"/>
          <w:lang w:val="en-US" w:eastAsia="zh-CN"/>
        </w:rPr>
        <w:t>1</w:t>
      </w:r>
      <w:r>
        <w:rPr>
          <w:rFonts w:hint="default" w:ascii="方正仿宋_GBK" w:hAnsi="方正仿宋_GBK" w:eastAsia="方正仿宋_GBK" w:cs="方正仿宋_GBK"/>
          <w:color w:val="auto"/>
          <w:sz w:val="32"/>
          <w:szCs w:val="32"/>
          <w:highlight w:val="none"/>
          <w:lang w:val="en-US" w:eastAsia="zh-CN"/>
        </w:rPr>
        <w:t>日－20</w:t>
      </w:r>
      <w:r>
        <w:rPr>
          <w:rFonts w:hint="eastAsia" w:ascii="方正仿宋_GBK" w:hAnsi="方正仿宋_GBK" w:eastAsia="方正仿宋_GBK" w:cs="方正仿宋_GBK"/>
          <w:color w:val="auto"/>
          <w:sz w:val="32"/>
          <w:szCs w:val="32"/>
          <w:highlight w:val="none"/>
          <w:lang w:val="en-US" w:eastAsia="zh-CN"/>
        </w:rPr>
        <w:t>22</w:t>
      </w:r>
      <w:r>
        <w:rPr>
          <w:rFonts w:hint="default" w:ascii="方正仿宋_GBK" w:hAnsi="方正仿宋_GBK" w:eastAsia="方正仿宋_GBK" w:cs="方正仿宋_GBK"/>
          <w:color w:val="auto"/>
          <w:sz w:val="32"/>
          <w:szCs w:val="32"/>
          <w:highlight w:val="none"/>
          <w:lang w:val="en-US" w:eastAsia="zh-CN"/>
        </w:rPr>
        <w:t>年</w:t>
      </w:r>
      <w:r>
        <w:rPr>
          <w:rFonts w:hint="eastAsia" w:ascii="方正仿宋_GBK" w:hAnsi="方正仿宋_GBK" w:eastAsia="方正仿宋_GBK" w:cs="方正仿宋_GBK"/>
          <w:color w:val="auto"/>
          <w:sz w:val="32"/>
          <w:szCs w:val="32"/>
          <w:highlight w:val="none"/>
          <w:lang w:val="en-US" w:eastAsia="zh-CN"/>
        </w:rPr>
        <w:t>12</w:t>
      </w:r>
      <w:r>
        <w:rPr>
          <w:rFonts w:hint="default" w:ascii="方正仿宋_GBK" w:hAnsi="方正仿宋_GBK" w:eastAsia="方正仿宋_GBK" w:cs="方正仿宋_GBK"/>
          <w:color w:val="auto"/>
          <w:sz w:val="32"/>
          <w:szCs w:val="32"/>
          <w:highlight w:val="none"/>
          <w:lang w:val="en-US" w:eastAsia="zh-CN"/>
        </w:rPr>
        <w:t>月</w:t>
      </w:r>
      <w:r>
        <w:rPr>
          <w:rFonts w:hint="eastAsia" w:ascii="方正仿宋_GBK" w:hAnsi="方正仿宋_GBK" w:eastAsia="方正仿宋_GBK" w:cs="方正仿宋_GBK"/>
          <w:color w:val="auto"/>
          <w:sz w:val="32"/>
          <w:szCs w:val="32"/>
          <w:highlight w:val="none"/>
          <w:lang w:val="en-US" w:eastAsia="zh-CN"/>
        </w:rPr>
        <w:t>31</w:t>
      </w:r>
      <w:r>
        <w:rPr>
          <w:rFonts w:hint="default" w:ascii="方正仿宋_GBK" w:hAnsi="方正仿宋_GBK" w:eastAsia="方正仿宋_GBK" w:cs="方正仿宋_GBK"/>
          <w:color w:val="auto"/>
          <w:sz w:val="32"/>
          <w:szCs w:val="32"/>
          <w:highlight w:val="none"/>
          <w:lang w:val="en-US" w:eastAsia="zh-CN"/>
        </w:rPr>
        <w:t>日。</w:t>
      </w:r>
      <w:bookmarkEnd w:id="51"/>
      <w:bookmarkEnd w:id="52"/>
      <w:bookmarkEnd w:id="53"/>
      <w:bookmarkEnd w:id="54"/>
      <w:bookmarkEnd w:id="55"/>
      <w:bookmarkEnd w:id="56"/>
      <w:bookmarkEnd w:id="57"/>
      <w:bookmarkEnd w:id="58"/>
    </w:p>
    <w:p>
      <w:pPr>
        <w:pStyle w:val="29"/>
        <w:keepNext w:val="0"/>
        <w:keepLines w:val="0"/>
        <w:pageBreakBefore w:val="0"/>
        <w:widowControl/>
        <w:kinsoku/>
        <w:wordWrap/>
        <w:overflowPunct/>
        <w:topLinePunct w:val="0"/>
        <w:autoSpaceDE/>
        <w:autoSpaceDN/>
        <w:bidi w:val="0"/>
        <w:adjustRightInd/>
        <w:snapToGrid/>
        <w:spacing w:line="570" w:lineRule="exact"/>
        <w:ind w:firstLine="667" w:firstLineChars="200"/>
        <w:jc w:val="both"/>
        <w:textAlignment w:val="auto"/>
        <w:rPr>
          <w:rFonts w:hint="eastAsia" w:ascii="方正仿宋_GBK" w:hAnsi="方正仿宋_GBK" w:eastAsia="方正仿宋_GBK" w:cs="方正仿宋_GBK"/>
          <w:b/>
          <w:bCs/>
          <w:color w:val="auto"/>
          <w:sz w:val="32"/>
          <w:szCs w:val="32"/>
          <w:highlight w:val="none"/>
          <w:lang w:val="en-US" w:eastAsia="zh-CN"/>
        </w:rPr>
      </w:pPr>
      <w:r>
        <w:rPr>
          <w:rFonts w:hint="eastAsia" w:ascii="方正仿宋_GBK" w:hAnsi="方正仿宋_GBK" w:eastAsia="方正仿宋_GBK" w:cs="方正仿宋_GBK"/>
          <w:b/>
          <w:bCs/>
          <w:color w:val="auto"/>
          <w:sz w:val="32"/>
          <w:szCs w:val="32"/>
          <w:highlight w:val="none"/>
          <w:lang w:val="en-US" w:eastAsia="zh-CN"/>
        </w:rPr>
        <w:t>4.资金投入和使用情况</w:t>
      </w:r>
    </w:p>
    <w:p>
      <w:pPr>
        <w:pStyle w:val="29"/>
        <w:keepNext w:val="0"/>
        <w:keepLines w:val="0"/>
        <w:pageBreakBefore w:val="0"/>
        <w:widowControl/>
        <w:kinsoku/>
        <w:wordWrap/>
        <w:overflowPunct/>
        <w:topLinePunct w:val="0"/>
        <w:autoSpaceDE/>
        <w:autoSpaceDN/>
        <w:bidi w:val="0"/>
        <w:adjustRightInd/>
        <w:snapToGrid/>
        <w:spacing w:line="570" w:lineRule="exact"/>
        <w:ind w:firstLine="664" w:firstLineChars="200"/>
        <w:jc w:val="both"/>
        <w:textAlignment w:val="auto"/>
        <w:rPr>
          <w:rFonts w:hint="default" w:ascii="方正仿宋_GBK" w:hAnsi="方正仿宋_GBK" w:eastAsia="方正仿宋_GBK" w:cs="方正仿宋_GBK"/>
          <w:color w:val="auto"/>
          <w:sz w:val="32"/>
          <w:szCs w:val="32"/>
          <w:highlight w:val="none"/>
          <w:lang w:val="en-US" w:eastAsia="zh-CN"/>
        </w:rPr>
      </w:pPr>
      <w:r>
        <w:rPr>
          <w:rFonts w:hint="default" w:ascii="方正仿宋_GBK" w:hAnsi="方正仿宋_GBK" w:eastAsia="方正仿宋_GBK" w:cs="方正仿宋_GBK"/>
          <w:color w:val="auto"/>
          <w:sz w:val="32"/>
          <w:szCs w:val="32"/>
          <w:highlight w:val="none"/>
          <w:lang w:val="en-US" w:eastAsia="zh-CN"/>
        </w:rPr>
        <w:t>（1）</w:t>
      </w:r>
      <w:r>
        <w:rPr>
          <w:rFonts w:hint="eastAsia" w:ascii="方正仿宋_GBK" w:hAnsi="方正仿宋_GBK" w:eastAsia="方正仿宋_GBK" w:cs="方正仿宋_GBK"/>
          <w:color w:val="auto"/>
          <w:sz w:val="32"/>
          <w:szCs w:val="32"/>
          <w:highlight w:val="none"/>
          <w:lang w:val="en-US" w:eastAsia="zh-CN"/>
        </w:rPr>
        <w:t>预算安排</w:t>
      </w:r>
      <w:r>
        <w:rPr>
          <w:rFonts w:hint="default" w:ascii="方正仿宋_GBK" w:hAnsi="方正仿宋_GBK" w:eastAsia="方正仿宋_GBK" w:cs="方正仿宋_GBK"/>
          <w:color w:val="auto"/>
          <w:sz w:val="32"/>
          <w:szCs w:val="32"/>
          <w:highlight w:val="none"/>
          <w:lang w:val="en-US" w:eastAsia="zh-CN"/>
        </w:rPr>
        <w:t>情况</w:t>
      </w:r>
    </w:p>
    <w:p>
      <w:pPr>
        <w:pStyle w:val="29"/>
        <w:keepNext w:val="0"/>
        <w:keepLines w:val="0"/>
        <w:pageBreakBefore w:val="0"/>
        <w:widowControl/>
        <w:kinsoku/>
        <w:wordWrap/>
        <w:overflowPunct/>
        <w:topLinePunct w:val="0"/>
        <w:autoSpaceDE/>
        <w:autoSpaceDN/>
        <w:bidi w:val="0"/>
        <w:adjustRightInd/>
        <w:snapToGrid/>
        <w:spacing w:line="570" w:lineRule="exact"/>
        <w:ind w:firstLine="664"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该项目预算资金总额119.88万元，为中央专项资金，实际下达资金119.88万元，资金到位率为100%。</w:t>
      </w:r>
    </w:p>
    <w:p>
      <w:pPr>
        <w:pStyle w:val="29"/>
        <w:keepNext w:val="0"/>
        <w:keepLines w:val="0"/>
        <w:pageBreakBefore w:val="0"/>
        <w:widowControl/>
        <w:kinsoku/>
        <w:wordWrap/>
        <w:overflowPunct/>
        <w:topLinePunct w:val="0"/>
        <w:autoSpaceDE/>
        <w:autoSpaceDN/>
        <w:bidi w:val="0"/>
        <w:adjustRightInd/>
        <w:snapToGrid/>
        <w:spacing w:line="570" w:lineRule="exact"/>
        <w:ind w:firstLine="664"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（2）预算执行情况</w:t>
      </w:r>
    </w:p>
    <w:p>
      <w:pPr>
        <w:pStyle w:val="42"/>
        <w:pageBreakBefore w:val="0"/>
        <w:numPr>
          <w:ilvl w:val="0"/>
          <w:numId w:val="0"/>
        </w:numPr>
        <w:kinsoku/>
        <w:wordWrap/>
        <w:bidi w:val="0"/>
        <w:spacing w:line="57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该项目实际支出资金总额为</w:t>
      </w:r>
      <w:r>
        <w:rPr>
          <w:rFonts w:hint="eastAsia" w:ascii="方正仿宋_GBK" w:hAnsi="方正仿宋_GBK" w:eastAsia="方正仿宋_GBK" w:cs="方正仿宋_GBK"/>
          <w:color w:val="auto"/>
          <w:sz w:val="32"/>
          <w:szCs w:val="32"/>
          <w:highlight w:val="none"/>
          <w:lang w:val="en-US" w:eastAsia="zh-CN"/>
        </w:rPr>
        <w:t>119.88</w:t>
      </w:r>
      <w:r>
        <w:rPr>
          <w:rFonts w:hint="eastAsia" w:ascii="方正仿宋_GBK" w:hAnsi="方正仿宋_GBK" w:eastAsia="方正仿宋_GBK" w:cs="方正仿宋_GBK"/>
          <w:b w:val="0"/>
          <w:bCs w:val="0"/>
          <w:color w:val="auto"/>
          <w:sz w:val="32"/>
          <w:szCs w:val="32"/>
          <w:highlight w:val="none"/>
          <w:lang w:val="en-US" w:eastAsia="zh-CN"/>
        </w:rPr>
        <w:t>万元，预算资金执行率为100%，详细资金支出明细见“表1-1</w:t>
      </w:r>
      <w:r>
        <w:rPr>
          <w:rFonts w:hint="eastAsia" w:ascii="方正仿宋_GBK" w:hAnsi="方正仿宋_GBK" w:eastAsia="方正仿宋_GBK" w:cs="方正仿宋_GBK"/>
          <w:color w:val="auto"/>
          <w:sz w:val="32"/>
          <w:szCs w:val="32"/>
          <w:highlight w:val="none"/>
          <w:lang w:val="en-US" w:eastAsia="zh-CN"/>
        </w:rPr>
        <w:t>伽师县农技中心2022年第三次全国土壤普查工作项目</w:t>
      </w:r>
      <w:r>
        <w:rPr>
          <w:rFonts w:hint="eastAsia" w:ascii="方正仿宋_GBK" w:hAnsi="方正仿宋_GBK" w:eastAsia="方正仿宋_GBK" w:cs="方正仿宋_GBK"/>
          <w:b w:val="0"/>
          <w:bCs w:val="0"/>
          <w:color w:val="auto"/>
          <w:sz w:val="32"/>
          <w:szCs w:val="32"/>
          <w:highlight w:val="none"/>
          <w:lang w:val="en-US" w:eastAsia="zh-CN"/>
        </w:rPr>
        <w:t>支出明细表”。</w:t>
      </w:r>
    </w:p>
    <w:p>
      <w:pPr>
        <w:pStyle w:val="29"/>
        <w:keepNext w:val="0"/>
        <w:keepLines w:val="0"/>
        <w:pageBreakBefore w:val="0"/>
        <w:widowControl/>
        <w:kinsoku/>
        <w:wordWrap/>
        <w:overflowPunct/>
        <w:topLinePunct w:val="0"/>
        <w:autoSpaceDE/>
        <w:autoSpaceDN/>
        <w:bidi w:val="0"/>
        <w:adjustRightInd/>
        <w:snapToGrid/>
        <w:spacing w:line="570" w:lineRule="exact"/>
        <w:ind w:left="0" w:leftChars="0" w:firstLine="0" w:firstLineChars="0"/>
        <w:jc w:val="both"/>
        <w:textAlignment w:val="auto"/>
        <w:rPr>
          <w:rFonts w:hint="eastAsia" w:ascii="方正黑体_GBK" w:hAnsi="方正黑体_GBK" w:eastAsia="方正黑体_GBK" w:cs="方正黑体_GBK"/>
          <w:b/>
          <w:bCs/>
          <w:color w:val="auto"/>
          <w:sz w:val="30"/>
          <w:szCs w:val="30"/>
          <w:highlight w:val="none"/>
          <w:lang w:val="en-US" w:eastAsia="zh-CN"/>
        </w:rPr>
      </w:pPr>
      <w:r>
        <w:rPr>
          <w:rFonts w:hint="eastAsia" w:ascii="方正黑体_GBK" w:hAnsi="方正黑体_GBK" w:eastAsia="方正黑体_GBK" w:cs="方正黑体_GBK"/>
          <w:b/>
          <w:bCs/>
          <w:color w:val="auto"/>
          <w:sz w:val="30"/>
          <w:szCs w:val="30"/>
          <w:highlight w:val="none"/>
          <w:lang w:val="en-US" w:eastAsia="zh-CN"/>
        </w:rPr>
        <w:t>表1-1：伽师县农技中心2022年第三次全国土壤普查工作项目支出明细表</w:t>
      </w:r>
    </w:p>
    <w:tbl>
      <w:tblPr>
        <w:tblStyle w:val="21"/>
        <w:tblW w:w="88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83"/>
        <w:gridCol w:w="1146"/>
        <w:gridCol w:w="3231"/>
        <w:gridCol w:w="1336"/>
        <w:gridCol w:w="14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21" w:hRule="atLeast"/>
        </w:trPr>
        <w:tc>
          <w:tcPr>
            <w:tcW w:w="1683"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ascii="方正仿宋_GBK" w:hAnsi="方正仿宋_GBK" w:eastAsia="方正仿宋_GBK" w:cs="方正仿宋_GBK"/>
                <w:b/>
                <w:i w:val="0"/>
                <w:color w:val="000000"/>
                <w:sz w:val="22"/>
                <w:szCs w:val="22"/>
                <w:u w:val="none"/>
              </w:rPr>
            </w:pPr>
            <w:bookmarkStart w:id="59" w:name="_Toc68364659"/>
            <w:r>
              <w:rPr>
                <w:rFonts w:hint="eastAsia" w:ascii="方正仿宋_GBK" w:hAnsi="方正仿宋_GBK" w:eastAsia="方正仿宋_GBK" w:cs="方正仿宋_GBK"/>
                <w:b/>
                <w:i w:val="0"/>
                <w:color w:val="000000"/>
                <w:kern w:val="0"/>
                <w:sz w:val="22"/>
                <w:szCs w:val="22"/>
                <w:u w:val="none"/>
                <w:lang w:val="en-US" w:eastAsia="zh-CN" w:bidi="ar"/>
              </w:rPr>
              <w:t>用途</w:t>
            </w:r>
          </w:p>
        </w:tc>
        <w:tc>
          <w:tcPr>
            <w:tcW w:w="1146"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b/>
                <w:i w:val="0"/>
                <w:color w:val="000000"/>
                <w:sz w:val="22"/>
                <w:szCs w:val="22"/>
                <w:u w:val="none"/>
              </w:rPr>
            </w:pPr>
            <w:r>
              <w:rPr>
                <w:rFonts w:hint="eastAsia" w:ascii="方正仿宋_GBK" w:hAnsi="方正仿宋_GBK" w:eastAsia="方正仿宋_GBK" w:cs="方正仿宋_GBK"/>
                <w:b/>
                <w:i w:val="0"/>
                <w:color w:val="000000"/>
                <w:kern w:val="0"/>
                <w:sz w:val="22"/>
                <w:szCs w:val="22"/>
                <w:u w:val="none"/>
                <w:lang w:val="en-US" w:eastAsia="zh-CN" w:bidi="ar"/>
              </w:rPr>
              <w:t>数量</w:t>
            </w:r>
          </w:p>
        </w:tc>
        <w:tc>
          <w:tcPr>
            <w:tcW w:w="3231"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b/>
                <w:i w:val="0"/>
                <w:color w:val="000000"/>
                <w:sz w:val="22"/>
                <w:szCs w:val="22"/>
                <w:u w:val="none"/>
              </w:rPr>
            </w:pPr>
            <w:r>
              <w:rPr>
                <w:rFonts w:hint="eastAsia" w:ascii="方正仿宋_GBK" w:hAnsi="方正仿宋_GBK" w:eastAsia="方正仿宋_GBK" w:cs="方正仿宋_GBK"/>
                <w:b/>
                <w:i w:val="0"/>
                <w:color w:val="000000"/>
                <w:kern w:val="0"/>
                <w:sz w:val="22"/>
                <w:szCs w:val="22"/>
                <w:u w:val="none"/>
                <w:lang w:val="en-US" w:eastAsia="zh-CN" w:bidi="ar"/>
              </w:rPr>
              <w:t>中标公司</w:t>
            </w:r>
          </w:p>
        </w:tc>
        <w:tc>
          <w:tcPr>
            <w:tcW w:w="1336"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b/>
                <w:i w:val="0"/>
                <w:color w:val="000000"/>
                <w:sz w:val="22"/>
                <w:szCs w:val="22"/>
                <w:u w:val="none"/>
              </w:rPr>
            </w:pPr>
            <w:r>
              <w:rPr>
                <w:rFonts w:hint="eastAsia" w:ascii="方正仿宋_GBK" w:hAnsi="方正仿宋_GBK" w:eastAsia="方正仿宋_GBK" w:cs="方正仿宋_GBK"/>
                <w:b/>
                <w:i w:val="0"/>
                <w:color w:val="000000"/>
                <w:kern w:val="0"/>
                <w:sz w:val="22"/>
                <w:szCs w:val="22"/>
                <w:u w:val="none"/>
                <w:lang w:val="en-US" w:eastAsia="zh-CN" w:bidi="ar"/>
              </w:rPr>
              <w:t>合同价（元）</w:t>
            </w:r>
          </w:p>
        </w:tc>
        <w:tc>
          <w:tcPr>
            <w:tcW w:w="1478"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b/>
                <w:i w:val="0"/>
                <w:color w:val="000000"/>
                <w:sz w:val="22"/>
                <w:szCs w:val="22"/>
                <w:u w:val="none"/>
              </w:rPr>
            </w:pPr>
            <w:r>
              <w:rPr>
                <w:rFonts w:hint="eastAsia" w:ascii="方正仿宋_GBK" w:hAnsi="方正仿宋_GBK" w:eastAsia="方正仿宋_GBK" w:cs="方正仿宋_GBK"/>
                <w:b/>
                <w:i w:val="0"/>
                <w:color w:val="000000"/>
                <w:kern w:val="0"/>
                <w:sz w:val="22"/>
                <w:szCs w:val="22"/>
                <w:u w:val="none"/>
                <w:lang w:val="en-US" w:eastAsia="zh-CN" w:bidi="ar"/>
              </w:rPr>
              <w:t>支付金额（元）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3" w:hRule="atLeast"/>
        </w:trPr>
        <w:tc>
          <w:tcPr>
            <w:tcW w:w="168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采集土壤样品</w:t>
            </w:r>
          </w:p>
        </w:tc>
        <w:tc>
          <w:tcPr>
            <w:tcW w:w="114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1批</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新疆千策科技有限公司</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70425</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3" w:hRule="atLeast"/>
        </w:trPr>
        <w:tc>
          <w:tcPr>
            <w:tcW w:w="168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新疆视科威仪信息科技有限公司</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9575</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3" w:hRule="atLeast"/>
        </w:trPr>
        <w:tc>
          <w:tcPr>
            <w:tcW w:w="1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土壤样品检测分析</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13987项次</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新疆农业科学院土壤肥料与农业节水研究所</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1020550</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1020550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3" w:hRule="atLeast"/>
        </w:trPr>
        <w:tc>
          <w:tcPr>
            <w:tcW w:w="1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土壤样品流转</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2386次</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喀什远顺通速递有限公司伽师县营业部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83510</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3" w:hRule="atLeast"/>
        </w:trPr>
        <w:tc>
          <w:tcPr>
            <w:tcW w:w="1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外采取土壤样品工具</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1批</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伽师县汇鑫办公百货店</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14740</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3" w:hRule="atLeast"/>
        </w:trPr>
        <w:tc>
          <w:tcPr>
            <w:tcW w:w="606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1198800</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1198800</w:t>
            </w:r>
          </w:p>
        </w:tc>
      </w:tr>
    </w:tbl>
    <w:p>
      <w:pPr>
        <w:pStyle w:val="29"/>
        <w:keepNext w:val="0"/>
        <w:keepLines w:val="0"/>
        <w:pageBreakBefore w:val="0"/>
        <w:widowControl/>
        <w:kinsoku/>
        <w:wordWrap/>
        <w:overflowPunct/>
        <w:topLinePunct w:val="0"/>
        <w:autoSpaceDE/>
        <w:autoSpaceDN/>
        <w:bidi w:val="0"/>
        <w:adjustRightInd/>
        <w:snapToGrid/>
        <w:spacing w:line="570" w:lineRule="exact"/>
        <w:ind w:firstLine="667" w:firstLineChars="200"/>
        <w:jc w:val="both"/>
        <w:textAlignment w:val="auto"/>
        <w:rPr>
          <w:rFonts w:hint="eastAsia" w:ascii="方正楷体_GBK" w:hAnsi="方正楷体_GBK" w:eastAsia="方正楷体_GBK" w:cs="方正楷体_GBK"/>
          <w:b/>
          <w:bCs/>
          <w:color w:val="auto"/>
          <w:highlight w:val="none"/>
          <w:lang w:val="en-US" w:eastAsia="zh-CN"/>
        </w:rPr>
      </w:pPr>
      <w:r>
        <w:rPr>
          <w:rFonts w:hint="eastAsia" w:ascii="方正仿宋_GBK" w:hAnsi="方正仿宋_GBK" w:eastAsia="方正仿宋_GBK" w:cs="方正仿宋_GBK"/>
          <w:b/>
          <w:bCs/>
          <w:color w:val="auto"/>
          <w:sz w:val="32"/>
          <w:szCs w:val="32"/>
          <w:highlight w:val="none"/>
          <w:lang w:val="en-US" w:eastAsia="zh-CN"/>
        </w:rPr>
        <w:t>5.项目组织及管理情况</w:t>
      </w:r>
    </w:p>
    <w:p>
      <w:pPr>
        <w:pStyle w:val="42"/>
        <w:pageBreakBefore w:val="0"/>
        <w:numPr>
          <w:ilvl w:val="0"/>
          <w:numId w:val="0"/>
        </w:numPr>
        <w:kinsoku/>
        <w:wordWrap/>
        <w:bidi w:val="0"/>
        <w:spacing w:line="570" w:lineRule="exact"/>
        <w:ind w:firstLine="667" w:firstLineChars="200"/>
        <w:jc w:val="both"/>
        <w:rPr>
          <w:rFonts w:hint="eastAsia" w:ascii="方正仿宋_GBK" w:hAnsi="方正仿宋_GBK" w:eastAsia="方正仿宋_GBK" w:cs="方正仿宋_GBK"/>
          <w:b/>
          <w:bCs/>
          <w:color w:val="auto"/>
          <w:spacing w:val="6"/>
          <w:kern w:val="0"/>
          <w:sz w:val="32"/>
          <w:szCs w:val="32"/>
          <w:highlight w:val="none"/>
          <w:lang w:val="en-US" w:eastAsia="zh-CN" w:bidi="ar"/>
        </w:rPr>
      </w:pPr>
      <w:r>
        <w:rPr>
          <w:rFonts w:hint="eastAsia" w:ascii="方正仿宋_GBK" w:hAnsi="方正仿宋_GBK" w:eastAsia="方正仿宋_GBK" w:cs="方正仿宋_GBK"/>
          <w:b/>
          <w:bCs/>
          <w:color w:val="auto"/>
          <w:spacing w:val="6"/>
          <w:kern w:val="0"/>
          <w:sz w:val="32"/>
          <w:szCs w:val="32"/>
          <w:highlight w:val="none"/>
          <w:lang w:val="en-US" w:eastAsia="zh-CN" w:bidi="ar"/>
        </w:rPr>
        <w:t>（1）项目组织情况</w:t>
      </w:r>
    </w:p>
    <w:p>
      <w:pPr>
        <w:pStyle w:val="43"/>
        <w:keepNext w:val="0"/>
        <w:keepLines w:val="0"/>
        <w:pageBreakBefore w:val="0"/>
        <w:widowControl w:val="0"/>
        <w:numPr>
          <w:ilvl w:val="0"/>
          <w:numId w:val="0"/>
        </w:numPr>
        <w:kinsoku/>
        <w:wordWrap/>
        <w:overflowPunct/>
        <w:topLinePunct w:val="0"/>
        <w:autoSpaceDE/>
        <w:autoSpaceDN/>
        <w:bidi w:val="0"/>
        <w:adjustRightInd/>
        <w:snapToGrid w:val="0"/>
        <w:spacing w:line="570" w:lineRule="exact"/>
        <w:ind w:firstLine="664" w:firstLineChars="200"/>
        <w:jc w:val="both"/>
        <w:textAlignment w:val="auto"/>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项目主管单位：伽师县农业技术推广中心。</w:t>
      </w:r>
    </w:p>
    <w:p>
      <w:pPr>
        <w:pStyle w:val="43"/>
        <w:keepNext w:val="0"/>
        <w:keepLines w:val="0"/>
        <w:pageBreakBefore w:val="0"/>
        <w:widowControl w:val="0"/>
        <w:numPr>
          <w:ilvl w:val="0"/>
          <w:numId w:val="0"/>
        </w:numPr>
        <w:kinsoku/>
        <w:wordWrap/>
        <w:overflowPunct/>
        <w:topLinePunct w:val="0"/>
        <w:autoSpaceDE/>
        <w:autoSpaceDN/>
        <w:bidi w:val="0"/>
        <w:adjustRightInd/>
        <w:snapToGrid w:val="0"/>
        <w:spacing w:line="570" w:lineRule="exact"/>
        <w:ind w:firstLine="624" w:firstLineChars="200"/>
        <w:jc w:val="both"/>
        <w:textAlignment w:val="auto"/>
        <w:rPr>
          <w:rStyle w:val="23"/>
          <w:rFonts w:hint="eastAsia" w:ascii="方正仿宋_GBK" w:hAnsi="方正仿宋_GBK" w:eastAsia="方正仿宋_GBK" w:cs="方正仿宋_GBK"/>
          <w:b w:val="0"/>
          <w:bCs w:val="0"/>
          <w:spacing w:val="-4"/>
          <w:sz w:val="32"/>
          <w:szCs w:val="32"/>
          <w:highlight w:val="none"/>
          <w:lang w:val="en-US" w:eastAsia="zh-CN"/>
        </w:rPr>
      </w:pPr>
      <w:r>
        <w:rPr>
          <w:rStyle w:val="23"/>
          <w:rFonts w:hint="eastAsia" w:ascii="方正仿宋_GBK" w:hAnsi="方正仿宋_GBK" w:eastAsia="方正仿宋_GBK" w:cs="方正仿宋_GBK"/>
          <w:b w:val="0"/>
          <w:bCs w:val="0"/>
          <w:spacing w:val="-4"/>
          <w:sz w:val="32"/>
          <w:szCs w:val="32"/>
          <w:highlight w:val="none"/>
          <w:lang w:val="en-US" w:eastAsia="zh-CN"/>
        </w:rPr>
        <w:t>①成立由县主要领导牵头的伽师县2022年第三次全国土壤普查项目组织领导小组，加强组织领导，切实提高项目的执行力度，在推进项目过程中遇到的困难问题做到及时协调，并不定期对项目进行推进督促，发现问题及时纠偏等。</w:t>
      </w:r>
    </w:p>
    <w:p>
      <w:pPr>
        <w:pStyle w:val="35"/>
        <w:pageBreakBefore w:val="0"/>
        <w:kinsoku/>
        <w:wordWrap/>
        <w:topLinePunct w:val="0"/>
        <w:autoSpaceDE/>
        <w:autoSpaceDN/>
        <w:bidi w:val="0"/>
        <w:spacing w:line="570" w:lineRule="exact"/>
        <w:ind w:firstLine="640"/>
        <w:jc w:val="both"/>
        <w:rPr>
          <w:rStyle w:val="23"/>
          <w:rFonts w:hint="eastAsia" w:ascii="方正仿宋_GBK" w:hAnsi="方正仿宋_GBK" w:eastAsia="方正仿宋_GBK" w:cs="方正仿宋_GBK"/>
          <w:b w:val="0"/>
          <w:bCs w:val="0"/>
          <w:spacing w:val="-4"/>
          <w:kern w:val="0"/>
          <w:sz w:val="32"/>
          <w:szCs w:val="32"/>
          <w:highlight w:val="none"/>
          <w:lang w:val="en-US" w:eastAsia="zh-CN" w:bidi="ar"/>
        </w:rPr>
      </w:pPr>
      <w:r>
        <w:rPr>
          <w:rStyle w:val="23"/>
          <w:rFonts w:hint="eastAsia" w:ascii="方正仿宋_GBK" w:hAnsi="方正仿宋_GBK" w:eastAsia="方正仿宋_GBK" w:cs="方正仿宋_GBK"/>
          <w:b w:val="0"/>
          <w:bCs w:val="0"/>
          <w:spacing w:val="-4"/>
          <w:kern w:val="0"/>
          <w:sz w:val="32"/>
          <w:szCs w:val="32"/>
          <w:highlight w:val="none"/>
          <w:lang w:val="en-US" w:eastAsia="zh-CN" w:bidi="ar"/>
        </w:rPr>
        <w:t>②组织外业采样队</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Style w:val="23"/>
          <w:rFonts w:hint="eastAsia" w:ascii="方正仿宋_GBK" w:hAnsi="方正仿宋_GBK" w:eastAsia="方正仿宋_GBK" w:cs="方正仿宋_GBK"/>
          <w:b w:val="0"/>
          <w:bCs w:val="0"/>
          <w:spacing w:val="-4"/>
          <w:kern w:val="0"/>
          <w:sz w:val="32"/>
          <w:szCs w:val="32"/>
          <w:highlight w:val="none"/>
          <w:lang w:val="en-US" w:eastAsia="zh-CN" w:bidi="ar"/>
        </w:rPr>
        <w:t>外业调查采样是此次土壤普查最基础的关键环节，是决定普查成果科学性、准确性、典型性的核心。伽师县组织技术专家和外业调查采样队伍进行了系统培训，严格按照国家技术规程规范，并组织参加自治区资格考试通过后对普查样点的校核、外采、数据审核、土壤样品流转等工作举办第三次全国土壤普查表层土壤外业调查采样技术实训，组织全县36名业务骨干参加，强化培训第三次全国土壤普查表层土壤样品采集与调查方法，重点学习样点定位，表层混合样、水稳性大团聚体、容重等样品采集方法，土壤利用情况、立地条件等野外调查，质量控制方法，同时到地里虚拟采样点进行野外实操演习和实训考核。</w:t>
      </w:r>
    </w:p>
    <w:p>
      <w:pPr>
        <w:pStyle w:val="42"/>
        <w:pageBreakBefore w:val="0"/>
        <w:numPr>
          <w:ilvl w:val="0"/>
          <w:numId w:val="0"/>
        </w:numPr>
        <w:kinsoku/>
        <w:wordWrap/>
        <w:bidi w:val="0"/>
        <w:spacing w:line="570" w:lineRule="exact"/>
        <w:ind w:leftChars="200"/>
        <w:jc w:val="both"/>
        <w:rPr>
          <w:rFonts w:hint="eastAsia" w:ascii="方正仿宋_GBK" w:hAnsi="方正仿宋_GBK" w:eastAsia="方正仿宋_GBK" w:cs="方正仿宋_GBK"/>
          <w:b/>
          <w:bCs/>
          <w:color w:val="auto"/>
          <w:spacing w:val="6"/>
          <w:kern w:val="0"/>
          <w:sz w:val="32"/>
          <w:szCs w:val="32"/>
          <w:highlight w:val="none"/>
          <w:lang w:val="en-US" w:eastAsia="zh-CN" w:bidi="ar"/>
        </w:rPr>
      </w:pPr>
      <w:r>
        <w:rPr>
          <w:rFonts w:hint="eastAsia" w:ascii="方正仿宋_GBK" w:hAnsi="方正仿宋_GBK" w:eastAsia="方正仿宋_GBK" w:cs="方正仿宋_GBK"/>
          <w:b/>
          <w:bCs/>
          <w:color w:val="auto"/>
          <w:spacing w:val="6"/>
          <w:kern w:val="0"/>
          <w:sz w:val="32"/>
          <w:szCs w:val="32"/>
          <w:highlight w:val="none"/>
          <w:lang w:val="en-US" w:eastAsia="zh-CN" w:bidi="ar"/>
        </w:rPr>
        <w:t>（2）项目管理情况</w:t>
      </w:r>
    </w:p>
    <w:p>
      <w:pPr>
        <w:pStyle w:val="43"/>
        <w:keepNext w:val="0"/>
        <w:keepLines w:val="0"/>
        <w:pageBreakBefore w:val="0"/>
        <w:widowControl w:val="0"/>
        <w:kinsoku/>
        <w:wordWrap/>
        <w:overflowPunct/>
        <w:topLinePunct w:val="0"/>
        <w:autoSpaceDE/>
        <w:autoSpaceDN/>
        <w:bidi w:val="0"/>
        <w:adjustRightInd/>
        <w:snapToGrid w:val="0"/>
        <w:spacing w:line="570" w:lineRule="exact"/>
        <w:ind w:left="0" w:leftChars="0" w:firstLine="664" w:firstLineChars="200"/>
        <w:jc w:val="both"/>
        <w:textAlignment w:val="auto"/>
        <w:rPr>
          <w:rFonts w:hint="eastAsia"/>
          <w:highlight w:val="none"/>
          <w:lang w:val="en-US" w:eastAsia="zh-CN"/>
        </w:rPr>
      </w:pPr>
      <w:r>
        <w:rPr>
          <w:rFonts w:hint="eastAsia" w:ascii="方正仿宋_GBK" w:hAnsi="方正仿宋_GBK" w:eastAsia="方正仿宋_GBK" w:cs="方正仿宋_GBK"/>
          <w:color w:val="auto"/>
          <w:spacing w:val="6"/>
          <w:kern w:val="0"/>
          <w:sz w:val="32"/>
          <w:szCs w:val="32"/>
          <w:highlight w:val="none"/>
          <w:lang w:val="en-US" w:eastAsia="zh-CN" w:bidi="ar"/>
        </w:rPr>
        <w:t>严格执行国家有关法律、法规和财务规章制度。为了加强项目管理，建立良好的内部运行机制，伽师县农技推广中心制定并执行《伽师县农技推广中心财务管理制度》，《伽师县农技推广中心单位管理制度》</w:t>
      </w:r>
      <w:r>
        <w:rPr>
          <w:rStyle w:val="23"/>
          <w:rFonts w:hint="eastAsia" w:ascii="方正仿宋_GBK" w:hAnsi="方正仿宋_GBK" w:eastAsia="方正仿宋_GBK" w:cs="方正仿宋_GBK"/>
          <w:b w:val="0"/>
          <w:bCs w:val="0"/>
          <w:color w:val="auto"/>
          <w:spacing w:val="-4"/>
          <w:sz w:val="32"/>
          <w:szCs w:val="32"/>
          <w:highlight w:val="none"/>
          <w:lang w:val="en-US" w:eastAsia="zh-CN"/>
        </w:rPr>
        <w:t>《项目绩效管理办法》等法律和有关财政财务规章，规范财政资金管理，量入为出，统筹兼顾，突出重点，讲究实效，防范风险，合理使用各项资金，</w:t>
      </w:r>
      <w:r>
        <w:rPr>
          <w:rFonts w:hint="eastAsia" w:ascii="方正仿宋_GBK" w:hAnsi="方正仿宋_GBK" w:eastAsia="方正仿宋_GBK" w:cs="方正仿宋_GBK"/>
          <w:b w:val="0"/>
          <w:bCs w:val="0"/>
          <w:color w:val="auto"/>
          <w:spacing w:val="6"/>
          <w:kern w:val="0"/>
          <w:sz w:val="32"/>
          <w:szCs w:val="32"/>
          <w:highlight w:val="none"/>
          <w:lang w:val="en-US" w:eastAsia="zh-CN" w:bidi="ar"/>
        </w:rPr>
        <w:t>对于预算资金的使用做到了专款专用，项目核算基本规范，审批程序严格。</w:t>
      </w:r>
    </w:p>
    <w:p>
      <w:pPr>
        <w:pStyle w:val="29"/>
        <w:keepNext w:val="0"/>
        <w:keepLines w:val="0"/>
        <w:pageBreakBefore w:val="0"/>
        <w:widowControl/>
        <w:kinsoku/>
        <w:wordWrap/>
        <w:overflowPunct/>
        <w:topLinePunct w:val="0"/>
        <w:autoSpaceDE/>
        <w:autoSpaceDN/>
        <w:bidi w:val="0"/>
        <w:adjustRightInd/>
        <w:snapToGrid/>
        <w:spacing w:line="570" w:lineRule="exact"/>
        <w:ind w:firstLine="667" w:firstLineChars="200"/>
        <w:jc w:val="both"/>
        <w:textAlignment w:val="auto"/>
        <w:rPr>
          <w:rFonts w:hint="eastAsia" w:ascii="方正楷体_GBK" w:hAnsi="方正楷体_GBK" w:eastAsia="方正楷体_GBK" w:cs="方正楷体_GBK"/>
          <w:b/>
          <w:bCs/>
          <w:color w:val="auto"/>
          <w:highlight w:val="none"/>
          <w:lang w:val="en-US" w:eastAsia="zh-CN"/>
        </w:rPr>
      </w:pPr>
      <w:bookmarkStart w:id="60" w:name="_Toc25910_WPSOffice_Level2"/>
      <w:r>
        <w:rPr>
          <w:rFonts w:hint="eastAsia" w:ascii="方正楷体_GBK" w:hAnsi="方正楷体_GBK" w:eastAsia="方正楷体_GBK" w:cs="方正楷体_GBK"/>
          <w:b/>
          <w:bCs/>
          <w:color w:val="auto"/>
          <w:highlight w:val="none"/>
          <w:lang w:val="en-US" w:eastAsia="zh-CN"/>
        </w:rPr>
        <w:t>（二）项目绩效目标</w:t>
      </w:r>
      <w:bookmarkEnd w:id="59"/>
      <w:bookmarkEnd w:id="60"/>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b/>
          <w:bCs/>
          <w:color w:val="auto"/>
          <w:spacing w:val="6"/>
          <w:kern w:val="0"/>
          <w:sz w:val="32"/>
          <w:szCs w:val="32"/>
          <w:highlight w:val="none"/>
          <w:lang w:val="en-US" w:eastAsia="zh-CN" w:bidi="ar"/>
        </w:rPr>
      </w:pPr>
      <w:r>
        <w:rPr>
          <w:rFonts w:hint="eastAsia" w:ascii="方正仿宋_GBK" w:hAnsi="方正仿宋_GBK" w:eastAsia="方正仿宋_GBK" w:cs="方正仿宋_GBK"/>
          <w:b/>
          <w:bCs/>
          <w:color w:val="auto"/>
          <w:spacing w:val="6"/>
          <w:kern w:val="0"/>
          <w:sz w:val="32"/>
          <w:szCs w:val="32"/>
          <w:highlight w:val="none"/>
          <w:lang w:val="en-US" w:eastAsia="zh-CN" w:bidi="ar"/>
        </w:rPr>
        <w:t>1.总体目标</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该项目根据《关于下达2022年中央农业资源及生态保护补助资金预算的通知》（喀地财农〔2022〕12号）文件，下达资金119.88万元，主要用于土壤样品检测费102.55万元，采集土壤样品及流转费17.825万元。通过实施此项目确保到2025年实现对全县耕地、园地、林地、盐碱地、草地等土壤“全面体检”，摸清土壤质量，为守住耕地红线，保护生态环境，优化农业生产布局推进，促进农业高质量发展奠定坚实基础。</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b/>
          <w:bCs/>
          <w:color w:val="auto"/>
          <w:spacing w:val="6"/>
          <w:kern w:val="0"/>
          <w:sz w:val="32"/>
          <w:szCs w:val="32"/>
          <w:highlight w:val="none"/>
          <w:lang w:val="en-US" w:eastAsia="zh-CN" w:bidi="ar"/>
        </w:rPr>
      </w:pPr>
      <w:r>
        <w:rPr>
          <w:rFonts w:hint="eastAsia" w:ascii="方正仿宋_GBK" w:hAnsi="方正仿宋_GBK" w:eastAsia="方正仿宋_GBK" w:cs="方正仿宋_GBK"/>
          <w:b/>
          <w:bCs/>
          <w:color w:val="auto"/>
          <w:spacing w:val="6"/>
          <w:kern w:val="0"/>
          <w:sz w:val="32"/>
          <w:szCs w:val="32"/>
          <w:highlight w:val="none"/>
          <w:lang w:val="en-US" w:eastAsia="zh-CN" w:bidi="ar"/>
        </w:rPr>
        <w:t>2.阶段性目标</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（1）前期准备：通过制定伽师县第三次全国土壤普查项目实施方案，经项目负责人审核通过后，有序开展后续工作。</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（2）组织实施：资金到位之后根据项目要求实施项目。项目责任人按照项目实施方案要求逐一进行项目部署安排，提高项目质量及效率性。</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（3）项目投入：本项目预算安排总额为119.88万元，为中央专项资金。</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b/>
          <w:bCs/>
          <w:color w:val="auto"/>
          <w:sz w:val="32"/>
          <w:szCs w:val="32"/>
          <w:highlight w:val="none"/>
          <w:lang w:eastAsia="zh-CN"/>
        </w:rPr>
      </w:pP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lang w:val="en-US" w:eastAsia="zh-CN"/>
        </w:rPr>
        <w:t>4</w:t>
      </w:r>
      <w:r>
        <w:rPr>
          <w:rFonts w:hint="eastAsia" w:ascii="方正仿宋_GBK" w:hAnsi="方正仿宋_GBK" w:eastAsia="方正仿宋_GBK" w:cs="方正仿宋_GBK"/>
          <w:b/>
          <w:bCs/>
          <w:color w:val="auto"/>
          <w:sz w:val="32"/>
          <w:szCs w:val="32"/>
          <w:highlight w:val="none"/>
          <w:lang w:eastAsia="zh-CN"/>
        </w:rPr>
        <w:t>）项目产出及效果：</w:t>
      </w:r>
    </w:p>
    <w:tbl>
      <w:tblPr>
        <w:tblStyle w:val="21"/>
        <w:tblW w:w="88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48"/>
        <w:gridCol w:w="845"/>
        <w:gridCol w:w="1600"/>
        <w:gridCol w:w="1706"/>
        <w:gridCol w:w="1914"/>
        <w:gridCol w:w="680"/>
        <w:gridCol w:w="13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5" w:hRule="atLeast"/>
        </w:trPr>
        <w:tc>
          <w:tcPr>
            <w:tcW w:w="8874" w:type="dxa"/>
            <w:gridSpan w:val="7"/>
            <w:tcBorders>
              <w:top w:val="nil"/>
              <w:left w:val="nil"/>
              <w:bottom w:val="nil"/>
              <w:right w:val="nil"/>
            </w:tcBorders>
            <w:shd w:val="clear" w:color="auto" w:fill="auto"/>
            <w:tcMar>
              <w:top w:w="15" w:type="dxa"/>
              <w:left w:w="15" w:type="dxa"/>
              <w:right w:w="15" w:type="dxa"/>
            </w:tcMar>
            <w:vAlign w:val="center"/>
          </w:tcPr>
          <w:p>
            <w:pPr>
              <w:pStyle w:val="35"/>
              <w:pageBreakBefore w:val="0"/>
              <w:kinsoku/>
              <w:wordWrap/>
              <w:topLinePunct w:val="0"/>
              <w:autoSpaceDE/>
              <w:autoSpaceDN/>
              <w:bidi w:val="0"/>
              <w:spacing w:line="570" w:lineRule="exact"/>
              <w:ind w:left="0" w:leftChars="0" w:firstLine="0" w:firstLineChars="0"/>
              <w:jc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项目支出绩效目标表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8874" w:type="dxa"/>
            <w:gridSpan w:val="7"/>
            <w:tcBorders>
              <w:top w:val="nil"/>
              <w:left w:val="nil"/>
              <w:bottom w:val="nil"/>
              <w:right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(2022年)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319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568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伽师县农技中心2022年第三次全国土壤普查工作项目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319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实施单位</w:t>
            </w:r>
          </w:p>
        </w:tc>
        <w:tc>
          <w:tcPr>
            <w:tcW w:w="568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伽师县农技中心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85" w:hRule="atLeast"/>
        </w:trPr>
        <w:tc>
          <w:tcPr>
            <w:tcW w:w="319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项目资金</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（万元）</w:t>
            </w:r>
          </w:p>
        </w:tc>
        <w:tc>
          <w:tcPr>
            <w:tcW w:w="1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年度资金总额：          </w:t>
            </w:r>
          </w:p>
        </w:tc>
        <w:tc>
          <w:tcPr>
            <w:tcW w:w="25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119.88</w:t>
            </w:r>
          </w:p>
        </w:tc>
        <w:tc>
          <w:tcPr>
            <w:tcW w:w="13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319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其中：财政拨款    </w:t>
            </w:r>
          </w:p>
        </w:tc>
        <w:tc>
          <w:tcPr>
            <w:tcW w:w="25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119.88</w:t>
            </w:r>
          </w:p>
        </w:tc>
        <w:tc>
          <w:tcPr>
            <w:tcW w:w="13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319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其他资金   </w:t>
            </w:r>
          </w:p>
        </w:tc>
        <w:tc>
          <w:tcPr>
            <w:tcW w:w="397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70" w:hRule="atLeast"/>
        </w:trPr>
        <w:tc>
          <w:tcPr>
            <w:tcW w:w="74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体</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标</w:t>
            </w:r>
          </w:p>
        </w:tc>
        <w:tc>
          <w:tcPr>
            <w:tcW w:w="812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年度绩效目标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12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suppressLineNumbers w:val="0"/>
              <w:kinsoku/>
              <w:wordWrap/>
              <w:bidi w:val="0"/>
              <w:spacing w:line="570" w:lineRule="exact"/>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此项目根据喀地财农[2022]12号文件，下达资金119.88万元，主要用于土壤样品检测分析费102.055万，采集土壤样品流转费8.35万元，购置取土壤样品的耗材成本1.474万元/批，</w:t>
            </w:r>
            <w:r>
              <w:rPr>
                <w:rFonts w:hint="eastAsia" w:ascii="宋体" w:hAnsi="宋体" w:cs="宋体"/>
                <w:i w:val="0"/>
                <w:color w:val="000000"/>
                <w:kern w:val="0"/>
                <w:sz w:val="20"/>
                <w:szCs w:val="20"/>
                <w:u w:val="none"/>
                <w:lang w:val="en-US" w:eastAsia="zh-CN" w:bidi="ar"/>
              </w:rPr>
              <w:t>购买土壤</w:t>
            </w:r>
            <w:r>
              <w:rPr>
                <w:rFonts w:hint="eastAsia" w:ascii="宋体" w:hAnsi="宋体" w:eastAsia="宋体" w:cs="宋体"/>
                <w:i w:val="0"/>
                <w:color w:val="000000"/>
                <w:kern w:val="0"/>
                <w:sz w:val="20"/>
                <w:szCs w:val="20"/>
                <w:u w:val="none"/>
                <w:lang w:val="en-US" w:eastAsia="zh-CN" w:bidi="ar"/>
              </w:rPr>
              <w:t>样品的工具成本8万元/批。项目实施后，真实准确掌握土壤质量和利用状况，全面提升土壤资源保护和利用水平，保护生态环境，优化农业生产布局，推动农业高质量发展。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8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rPr>
                <w:rFonts w:hint="eastAsia" w:ascii="宋体" w:hAnsi="宋体" w:eastAsia="宋体" w:cs="宋体"/>
                <w:i w:val="0"/>
                <w:color w:val="000000"/>
                <w:sz w:val="20"/>
                <w:szCs w:val="20"/>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74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绩效指标</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采集土壤样品流转数量（次）</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&gt;=2386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8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土壤样品检测分析数（项次）</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&gt;=13987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8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购买取土壤样品的耗材数量（批）</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购买土壤样品的工具数量（批）</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资金使用合规率（%）</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项目开工率（%）</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项目完工时间</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2022年12月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采集土壤样品流转费（万元）</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&lt;=8.35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土壤样品检测分析费用（万元）</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&lt;=102.055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购置取土壤样品的耗材成本（万元/批）</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购买土壤</w:t>
            </w:r>
            <w:r>
              <w:rPr>
                <w:rFonts w:hint="eastAsia" w:ascii="宋体" w:hAnsi="宋体" w:eastAsia="宋体" w:cs="宋体"/>
                <w:i w:val="0"/>
                <w:color w:val="000000"/>
                <w:kern w:val="0"/>
                <w:sz w:val="24"/>
                <w:szCs w:val="24"/>
                <w:u w:val="none"/>
                <w:lang w:val="en-US" w:eastAsia="zh-CN" w:bidi="ar"/>
              </w:rPr>
              <w:t>样品的工具成本（万元/批）</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经济效益指标</w:t>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left"/>
              <w:rPr>
                <w:rFonts w:hint="eastAsia" w:ascii="宋体" w:hAnsi="宋体" w:eastAsia="宋体" w:cs="宋体"/>
                <w:i w:val="0"/>
                <w:color w:val="000000"/>
                <w:sz w:val="20"/>
                <w:szCs w:val="20"/>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提升土壤资源保护和利用水平</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有效提升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生态效益指标</w:t>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left"/>
              <w:rPr>
                <w:rFonts w:hint="eastAsia" w:ascii="宋体" w:hAnsi="宋体" w:eastAsia="宋体" w:cs="宋体"/>
                <w:i w:val="0"/>
                <w:color w:val="000000"/>
                <w:sz w:val="24"/>
                <w:szCs w:val="24"/>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推进农业高质量发展</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持续推进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0" w:hRule="atLeast"/>
        </w:trPr>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受益农户满意度（%）</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&gt;=95%</w:t>
            </w:r>
          </w:p>
        </w:tc>
      </w:tr>
    </w:tbl>
    <w:p>
      <w:pPr>
        <w:pStyle w:val="35"/>
        <w:pageBreakBefore w:val="0"/>
        <w:kinsoku/>
        <w:wordWrap/>
        <w:topLinePunct w:val="0"/>
        <w:autoSpaceDE/>
        <w:autoSpaceDN/>
        <w:bidi w:val="0"/>
        <w:spacing w:line="570" w:lineRule="exact"/>
        <w:ind w:left="0" w:leftChars="0" w:firstLine="640" w:firstLineChars="200"/>
        <w:jc w:val="both"/>
        <w:rPr>
          <w:rFonts w:hint="eastAsia" w:ascii="方正黑体_GBK" w:hAnsi="方正黑体_GBK" w:eastAsia="方正黑体_GBK" w:cs="方正黑体_GBK"/>
          <w:b w:val="0"/>
          <w:bCs w:val="0"/>
          <w:color w:val="auto"/>
          <w:sz w:val="32"/>
          <w:szCs w:val="32"/>
          <w:highlight w:val="none"/>
        </w:rPr>
      </w:pPr>
      <w:bookmarkStart w:id="61" w:name="_Toc5281_WPSOffice_Level1"/>
      <w:bookmarkStart w:id="62" w:name="_Toc24308"/>
      <w:bookmarkStart w:id="63" w:name="_Toc18255"/>
      <w:bookmarkStart w:id="64" w:name="_Toc3051"/>
      <w:bookmarkStart w:id="65" w:name="_Toc5542"/>
      <w:bookmarkStart w:id="66" w:name="_Toc8501"/>
      <w:bookmarkStart w:id="67" w:name="_Toc2403"/>
      <w:bookmarkStart w:id="68" w:name="_Toc4867"/>
      <w:bookmarkStart w:id="69" w:name="_Toc3639"/>
      <w:bookmarkStart w:id="70" w:name="_Toc18064"/>
      <w:r>
        <w:rPr>
          <w:rFonts w:hint="eastAsia" w:ascii="方正黑体_GBK" w:hAnsi="方正黑体_GBK" w:eastAsia="方正黑体_GBK" w:cs="方正黑体_GBK"/>
          <w:b w:val="0"/>
          <w:bCs w:val="0"/>
          <w:kern w:val="44"/>
          <w:sz w:val="32"/>
          <w:szCs w:val="44"/>
          <w:highlight w:val="none"/>
          <w:lang w:val="en-US" w:eastAsia="zh-CN" w:bidi="ar-SA"/>
        </w:rPr>
        <w:t>二、绩效评价工作开展情况</w:t>
      </w:r>
      <w:bookmarkEnd w:id="61"/>
    </w:p>
    <w:bookmarkEnd w:id="62"/>
    <w:bookmarkEnd w:id="63"/>
    <w:bookmarkEnd w:id="64"/>
    <w:bookmarkEnd w:id="65"/>
    <w:bookmarkEnd w:id="66"/>
    <w:bookmarkEnd w:id="67"/>
    <w:bookmarkEnd w:id="68"/>
    <w:bookmarkEnd w:id="69"/>
    <w:bookmarkEnd w:id="70"/>
    <w:p>
      <w:pPr>
        <w:pStyle w:val="37"/>
        <w:keepNext/>
        <w:keepLines/>
        <w:pageBreakBefore w:val="0"/>
        <w:widowControl w:val="0"/>
        <w:kinsoku/>
        <w:wordWrap/>
        <w:overflowPunct/>
        <w:topLinePunct w:val="0"/>
        <w:autoSpaceDE/>
        <w:autoSpaceDN/>
        <w:bidi w:val="0"/>
        <w:adjustRightInd/>
        <w:snapToGrid/>
        <w:spacing w:line="570" w:lineRule="exact"/>
        <w:ind w:left="560"/>
        <w:jc w:val="both"/>
        <w:textAlignment w:val="auto"/>
        <w:rPr>
          <w:rFonts w:hint="eastAsia" w:ascii="方正楷体_GBK" w:hAnsi="方正楷体_GBK" w:eastAsia="方正楷体_GBK" w:cs="方正楷体_GBK"/>
          <w:b/>
          <w:bCs/>
          <w:sz w:val="32"/>
          <w:highlight w:val="none"/>
        </w:rPr>
      </w:pPr>
      <w:bookmarkStart w:id="71" w:name="_Toc68364661"/>
      <w:bookmarkStart w:id="72" w:name="_Toc5281_WPSOffice_Level2"/>
      <w:r>
        <w:rPr>
          <w:rFonts w:hint="eastAsia" w:ascii="方正楷体_GBK" w:hAnsi="方正楷体_GBK" w:eastAsia="方正楷体_GBK" w:cs="方正楷体_GBK"/>
          <w:b/>
          <w:bCs/>
          <w:sz w:val="32"/>
          <w:highlight w:val="none"/>
        </w:rPr>
        <w:t>（一）绩效评价目的、对象和范围</w:t>
      </w:r>
      <w:bookmarkEnd w:id="71"/>
      <w:bookmarkEnd w:id="72"/>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b/>
          <w:bCs/>
          <w:color w:val="auto"/>
          <w:spacing w:val="6"/>
          <w:kern w:val="0"/>
          <w:sz w:val="32"/>
          <w:szCs w:val="32"/>
          <w:highlight w:val="none"/>
          <w:lang w:val="en-US" w:eastAsia="zh-CN" w:bidi="ar"/>
        </w:rPr>
      </w:pPr>
      <w:r>
        <w:rPr>
          <w:rFonts w:hint="eastAsia" w:ascii="方正仿宋_GBK" w:hAnsi="方正仿宋_GBK" w:eastAsia="方正仿宋_GBK" w:cs="方正仿宋_GBK"/>
          <w:b/>
          <w:bCs/>
          <w:color w:val="auto"/>
          <w:spacing w:val="6"/>
          <w:kern w:val="0"/>
          <w:sz w:val="32"/>
          <w:szCs w:val="32"/>
          <w:highlight w:val="none"/>
          <w:lang w:val="en-US" w:eastAsia="zh-CN" w:bidi="ar"/>
        </w:rPr>
        <w:t>1.绩效评价目的</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bookmarkStart w:id="73" w:name="_Toc24619"/>
      <w:bookmarkStart w:id="74" w:name="_Toc1231"/>
      <w:bookmarkStart w:id="75" w:name="_Toc14007"/>
      <w:bookmarkStart w:id="76" w:name="_Toc29621"/>
      <w:bookmarkStart w:id="77" w:name="_Toc8498"/>
      <w:bookmarkStart w:id="78" w:name="_Toc23625"/>
      <w:bookmarkStart w:id="79" w:name="_Toc21604"/>
      <w:bookmarkStart w:id="80" w:name="_Toc18984"/>
      <w:bookmarkStart w:id="81" w:name="_Toc9701"/>
      <w:r>
        <w:rPr>
          <w:rFonts w:hint="eastAsia" w:ascii="方正仿宋_GBK" w:hAnsi="方正仿宋_GBK" w:eastAsia="方正仿宋_GBK" w:cs="方正仿宋_GBK"/>
          <w:color w:val="auto"/>
          <w:spacing w:val="6"/>
          <w:kern w:val="0"/>
          <w:sz w:val="32"/>
          <w:szCs w:val="32"/>
          <w:highlight w:val="none"/>
          <w:lang w:val="en-US" w:eastAsia="zh-CN" w:bidi="ar"/>
        </w:rPr>
        <w:t>本次绩效评价遵循财政部《项目支出绩效评价管理办法》（财预〔2020〕10号）和自治区财政厅《自治区财政支出绩效评价管理暂行办法》（新财预〔2018〕189号）等相关政策文件与规定，我单位针对伽师县第三次全国土壤普查项目开展本次部门项目支出绩效评价工作。通过绩效评价，促进本单位总结经验、发现问题、改进工作，旨在评价本项目前期审批、实施过程及实施效果，促进预算管理不断完善，加快绩效目标的实现，保证财政资金有效、合理使用，具体绩效评价的目的细分如下：</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一是通过部门项目支出绩效评价，进一步严格落实《中华人民共和国预算法》（2018年修正）以及党中央、国务院关于加强预算绩效管理的指示精神，建立健全“花钱必问效、无效必问责”的绩效预算管理机制、提升财政资金的使用效能。</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二是通过部门项目支出绩效评价，进一步做实绩效目标，根据项目绩效目标设立情况，细化形成多维度绩效指标，将绩效指标细化为数量指标、质量指标、时效指标、成本指标、经济效益指标、社会效益指标、可持续影响指标、服务对象满意度指标等内容，保证项目绩效指标设置科学、规范、合理、可衡量。</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三是通过部门项目支出绩效评价，进一步纠正对绩效管理理解上的偏差，建立更加全面科学的绩效指标体系，督促在预算编制中，将资金申请、绩效目标和具体指标统筹考虑，形成“花钱问效”的责任契约机制，进一步强化预算绩效管理的严肃性和约束力，推动绩效管理向全方位的绩效预算转变，逐步建立“以绩效目标为导向，以绩效评价为手段，以评价结果应用为保障，全方位、全覆盖、全过程”的绩效预算管理新体制。</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四是通过部门项目支出绩效评价，从绩效的角度发现本项目在决策、实施和管理过程中存在的问题，寻求解决方案，为进一步深化项目管理工作提供依据，以促进项目进一步的推进和后期项目维护，为评价工作提供更深一步的技术支持。</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b/>
          <w:bCs/>
          <w:color w:val="auto"/>
          <w:spacing w:val="6"/>
          <w:kern w:val="0"/>
          <w:sz w:val="32"/>
          <w:szCs w:val="32"/>
          <w:highlight w:val="none"/>
          <w:lang w:val="en-US" w:eastAsia="zh-CN" w:bidi="ar"/>
        </w:rPr>
      </w:pPr>
      <w:r>
        <w:rPr>
          <w:rFonts w:hint="eastAsia" w:ascii="方正仿宋_GBK" w:hAnsi="方正仿宋_GBK" w:eastAsia="方正仿宋_GBK" w:cs="方正仿宋_GBK"/>
          <w:b/>
          <w:bCs/>
          <w:color w:val="auto"/>
          <w:spacing w:val="6"/>
          <w:kern w:val="0"/>
          <w:sz w:val="32"/>
          <w:szCs w:val="32"/>
          <w:highlight w:val="none"/>
          <w:lang w:val="en-US" w:eastAsia="zh-CN" w:bidi="ar"/>
        </w:rPr>
        <w:t>2.绩效评价对象</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本次绩效评价遵循财政部《项目支出绩效评价管理办法》（财预〔2020〕10号）和自治区财政厅《自治区财政支出绩效评价管理暂行办法》（新财预〔2018〕189号）等相关政策文件与规定，本次评价对象为伽师县第三次全国土壤普查项目，以项目支出为对象所对应的预算资金，以项目实施所带来的产出和效果为主要内容，以促进预算单位完成特定工作任务目标所组织开展的绩效评价。</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b/>
          <w:bCs/>
          <w:color w:val="auto"/>
          <w:spacing w:val="6"/>
          <w:kern w:val="0"/>
          <w:sz w:val="32"/>
          <w:szCs w:val="32"/>
          <w:highlight w:val="none"/>
          <w:lang w:val="en-US" w:eastAsia="zh-CN" w:bidi="ar"/>
        </w:rPr>
      </w:pPr>
      <w:r>
        <w:rPr>
          <w:rFonts w:hint="eastAsia" w:ascii="方正仿宋_GBK" w:hAnsi="方正仿宋_GBK" w:eastAsia="方正仿宋_GBK" w:cs="方正仿宋_GBK"/>
          <w:b/>
          <w:bCs/>
          <w:color w:val="auto"/>
          <w:spacing w:val="6"/>
          <w:kern w:val="0"/>
          <w:sz w:val="32"/>
          <w:szCs w:val="32"/>
          <w:highlight w:val="none"/>
          <w:lang w:val="en-US" w:eastAsia="zh-CN" w:bidi="ar"/>
        </w:rPr>
        <w:t>3.绩效评价范围</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本次评价范围涵盖项目总体绩效目标、各项绩效指标完成情况以及预算执行情况。</w:t>
      </w:r>
      <w:bookmarkStart w:id="82" w:name="_Toc68364662"/>
      <w:r>
        <w:rPr>
          <w:rFonts w:hint="eastAsia" w:ascii="方正仿宋_GBK" w:hAnsi="方正仿宋_GBK" w:eastAsia="方正仿宋_GBK" w:cs="方正仿宋_GBK"/>
          <w:color w:val="auto"/>
          <w:spacing w:val="6"/>
          <w:kern w:val="0"/>
          <w:sz w:val="32"/>
          <w:szCs w:val="32"/>
          <w:highlight w:val="none"/>
          <w:lang w:val="en-US" w:eastAsia="zh-CN" w:bidi="ar"/>
        </w:rPr>
        <w:t>覆盖项目预算资金支出的所有内容进行评价。包括项目决策、项目实施和项目成果验收流程等。</w:t>
      </w:r>
    </w:p>
    <w:p>
      <w:pPr>
        <w:pStyle w:val="35"/>
        <w:pageBreakBefore w:val="0"/>
        <w:kinsoku/>
        <w:wordWrap/>
        <w:topLinePunct w:val="0"/>
        <w:autoSpaceDE/>
        <w:autoSpaceDN/>
        <w:bidi w:val="0"/>
        <w:spacing w:line="570" w:lineRule="exact"/>
        <w:ind w:firstLine="640"/>
        <w:jc w:val="both"/>
        <w:rPr>
          <w:rFonts w:hint="eastAsia" w:ascii="方正楷体_GBK" w:hAnsi="方正楷体_GBK" w:eastAsia="方正楷体_GBK" w:cs="方正楷体_GBK"/>
          <w:b/>
          <w:bCs/>
          <w:sz w:val="32"/>
          <w:highlight w:val="none"/>
          <w:lang w:val="en-US" w:eastAsia="zh-CN"/>
        </w:rPr>
      </w:pPr>
      <w:bookmarkStart w:id="83" w:name="_Toc3165_WPSOffice_Level2"/>
      <w:r>
        <w:rPr>
          <w:rFonts w:hint="eastAsia" w:ascii="方正楷体_GBK" w:hAnsi="方正楷体_GBK" w:eastAsia="方正楷体_GBK" w:cs="方正楷体_GBK"/>
          <w:b/>
          <w:bCs/>
          <w:sz w:val="32"/>
          <w:highlight w:val="none"/>
          <w:lang w:val="en-US" w:eastAsia="zh-CN"/>
        </w:rPr>
        <w:t>（二）绩效评价原则、评价指标体系、评价方法评价标准</w:t>
      </w:r>
      <w:bookmarkEnd w:id="82"/>
      <w:bookmarkEnd w:id="83"/>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b/>
          <w:bCs/>
          <w:color w:val="auto"/>
          <w:spacing w:val="6"/>
          <w:kern w:val="0"/>
          <w:sz w:val="32"/>
          <w:szCs w:val="32"/>
          <w:highlight w:val="none"/>
          <w:lang w:val="en-US" w:eastAsia="zh-CN" w:bidi="ar"/>
        </w:rPr>
      </w:pPr>
      <w:r>
        <w:rPr>
          <w:rFonts w:hint="eastAsia" w:ascii="方正仿宋_GBK" w:hAnsi="方正仿宋_GBK" w:eastAsia="方正仿宋_GBK" w:cs="方正仿宋_GBK"/>
          <w:b/>
          <w:bCs/>
          <w:color w:val="auto"/>
          <w:spacing w:val="6"/>
          <w:kern w:val="0"/>
          <w:sz w:val="32"/>
          <w:szCs w:val="32"/>
          <w:highlight w:val="none"/>
          <w:lang w:val="en-US" w:eastAsia="zh-CN" w:bidi="ar"/>
        </w:rPr>
        <w:t>1.绩效评价原则</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本次绩效评价遵循的原则包括：</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（1）科学公正。绩效评价应当运用科学合理的方法，按照规范的程序，对项目绩效进行客观、公正的反映。</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2）统筹兼顾。单位自评、部门评价和财政评价应职责明确，各有侧重，相互衔接。单位自评应由项目单位自主实施，即“谁支出、谁自评”。部门评价和财政评价应在单位自评的基础上开展，必要时可委托第三方机构实施。</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（3）激励约束。绩效评价结果应与预算安排、政策调整、改进管理实质性挂钩，体现奖优罚劣和激励相容导向，有效要安排、低效要压减、无效要问责。</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（4）公开透明。绩效评价结果应依法依规公开，并自觉接受社会监督。</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b/>
          <w:bCs/>
          <w:color w:val="auto"/>
          <w:spacing w:val="6"/>
          <w:kern w:val="0"/>
          <w:sz w:val="32"/>
          <w:szCs w:val="32"/>
          <w:highlight w:val="none"/>
          <w:lang w:val="en-US" w:eastAsia="zh-CN" w:bidi="ar"/>
        </w:rPr>
      </w:pPr>
      <w:r>
        <w:rPr>
          <w:rFonts w:hint="eastAsia" w:ascii="方正仿宋_GBK" w:hAnsi="方正仿宋_GBK" w:eastAsia="方正仿宋_GBK" w:cs="方正仿宋_GBK"/>
          <w:b/>
          <w:bCs/>
          <w:color w:val="auto"/>
          <w:spacing w:val="6"/>
          <w:kern w:val="0"/>
          <w:sz w:val="32"/>
          <w:szCs w:val="32"/>
          <w:highlight w:val="none"/>
          <w:lang w:val="en-US" w:eastAsia="zh-CN" w:bidi="ar"/>
        </w:rPr>
        <w:t>2.绩效评价指标体系</w:t>
      </w:r>
    </w:p>
    <w:p>
      <w:pPr>
        <w:pStyle w:val="35"/>
        <w:pageBreakBefore w:val="0"/>
        <w:kinsoku/>
        <w:wordWrap/>
        <w:topLinePunct w:val="0"/>
        <w:autoSpaceDE/>
        <w:bidi w:val="0"/>
        <w:spacing w:line="570" w:lineRule="exact"/>
        <w:ind w:firstLine="640" w:firstLineChars="200"/>
        <w:jc w:val="both"/>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该项目财政支出绩效评价指标体系严格按照《项目支出绩效评价管理办法》（财预〔2020〕10 号）文件要求设置，指标体系设置一级指标共4 个，包括决策指标（</w:t>
      </w:r>
      <w:r>
        <w:rPr>
          <w:rFonts w:hint="eastAsia" w:ascii="方正仿宋_GBK" w:hAnsi="方正仿宋_GBK" w:eastAsia="方正仿宋_GBK" w:cs="方正仿宋_GBK"/>
          <w:color w:val="auto"/>
          <w:sz w:val="32"/>
          <w:szCs w:val="32"/>
          <w:highlight w:val="none"/>
          <w:lang w:val="en-US" w:eastAsia="zh-CN"/>
        </w:rPr>
        <w:t>20</w:t>
      </w:r>
      <w:r>
        <w:rPr>
          <w:rFonts w:hint="eastAsia" w:ascii="方正仿宋_GBK" w:hAnsi="方正仿宋_GBK" w:eastAsia="方正仿宋_GBK" w:cs="方正仿宋_GBK"/>
          <w:color w:val="auto"/>
          <w:sz w:val="32"/>
          <w:szCs w:val="32"/>
          <w:highlight w:val="none"/>
        </w:rPr>
        <w:t>%）、过程指标（20%）、产出指标（</w:t>
      </w:r>
      <w:r>
        <w:rPr>
          <w:rFonts w:hint="eastAsia" w:ascii="方正仿宋_GBK" w:hAnsi="方正仿宋_GBK" w:eastAsia="方正仿宋_GBK" w:cs="方正仿宋_GBK"/>
          <w:color w:val="auto"/>
          <w:sz w:val="32"/>
          <w:szCs w:val="32"/>
          <w:highlight w:val="none"/>
          <w:lang w:val="en-US" w:eastAsia="zh-CN"/>
        </w:rPr>
        <w:t>40</w:t>
      </w:r>
      <w:r>
        <w:rPr>
          <w:rFonts w:hint="eastAsia" w:ascii="方正仿宋_GBK" w:hAnsi="方正仿宋_GBK" w:eastAsia="方正仿宋_GBK" w:cs="方正仿宋_GBK"/>
          <w:color w:val="auto"/>
          <w:sz w:val="32"/>
          <w:szCs w:val="32"/>
          <w:highlight w:val="none"/>
        </w:rPr>
        <w:t>%）、效益指标（</w:t>
      </w:r>
      <w:r>
        <w:rPr>
          <w:rFonts w:hint="eastAsia" w:ascii="方正仿宋_GBK" w:hAnsi="方正仿宋_GBK" w:eastAsia="方正仿宋_GBK" w:cs="方正仿宋_GBK"/>
          <w:color w:val="auto"/>
          <w:sz w:val="32"/>
          <w:szCs w:val="32"/>
          <w:highlight w:val="none"/>
          <w:lang w:val="en-US" w:eastAsia="zh-CN"/>
        </w:rPr>
        <w:t>20</w:t>
      </w:r>
      <w:r>
        <w:rPr>
          <w:rFonts w:hint="eastAsia" w:ascii="方正仿宋_GBK" w:hAnsi="方正仿宋_GBK" w:eastAsia="方正仿宋_GBK" w:cs="方正仿宋_GBK"/>
          <w:color w:val="auto"/>
          <w:sz w:val="32"/>
          <w:szCs w:val="32"/>
          <w:highlight w:val="none"/>
        </w:rPr>
        <w:t>%）四类指标；主要围绕资金使用、项目管理、资源配置等方面，客观分析项目的产出和效果，从而考察项目预算定额标准的合理性，进而提出完善意见。整个评价框架构成体现从投入、过程到产出、效果和影响的绩效逻辑路径。具体指标分类如下：</w:t>
      </w:r>
      <w:r>
        <w:rPr>
          <w:rFonts w:hint="eastAsia" w:ascii="方正仿宋_GBK" w:hAnsi="方正仿宋_GBK" w:eastAsia="方正仿宋_GBK" w:cs="方正仿宋_GBK"/>
          <w:color w:val="auto"/>
          <w:sz w:val="32"/>
          <w:szCs w:val="32"/>
          <w:highlight w:val="none"/>
          <w:lang w:eastAsia="zh-CN"/>
        </w:rPr>
        <w:t>（详见附表</w:t>
      </w:r>
      <w:r>
        <w:rPr>
          <w:rFonts w:hint="eastAsia" w:ascii="方正仿宋_GBK" w:hAnsi="方正仿宋_GBK" w:eastAsia="方正仿宋_GBK" w:cs="方正仿宋_GBK"/>
          <w:color w:val="auto"/>
          <w:sz w:val="32"/>
          <w:szCs w:val="32"/>
          <w:highlight w:val="none"/>
          <w:lang w:val="en-US" w:eastAsia="zh-CN"/>
        </w:rPr>
        <w:t>2</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rPr>
        <w:t>：</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一级指标为：决策、过程、产出、效益。</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二级指标为：项目立项、绩效目标、资金投入、资金管理、组织实施、产出数量、产出质量、产出时效、产出成本、项目效益。</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三级指标为：立项依据充分性、立项程序规范性、绩效目标合理性、绩效指标明确性、预算编制科学性、资金分配合理性、资金到位率、预算执行率、资金使用合规性、管理制度健全性、制度执行有效性、实际完成率、质量达标率、完成及时性、成本节约率、社会效益、生态效益、可持续影响、服务对象满意度。</w:t>
      </w:r>
    </w:p>
    <w:p>
      <w:pPr>
        <w:pStyle w:val="35"/>
        <w:pageBreakBefore w:val="0"/>
        <w:kinsoku/>
        <w:wordWrap/>
        <w:topLinePunct w:val="0"/>
        <w:autoSpaceDE/>
        <w:bidi w:val="0"/>
        <w:spacing w:line="570" w:lineRule="exact"/>
        <w:ind w:firstLine="643" w:firstLineChars="200"/>
        <w:jc w:val="both"/>
        <w:outlineLvl w:val="2"/>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3.绩效评价方法</w:t>
      </w:r>
    </w:p>
    <w:p>
      <w:pPr>
        <w:pStyle w:val="43"/>
        <w:pageBreakBefore w:val="0"/>
        <w:tabs>
          <w:tab w:val="left" w:pos="1559"/>
        </w:tabs>
        <w:kinsoku/>
        <w:wordWrap/>
        <w:topLinePunct w:val="0"/>
        <w:autoSpaceDE/>
        <w:bidi w:val="0"/>
        <w:adjustRightInd w:val="0"/>
        <w:snapToGrid w:val="0"/>
        <w:spacing w:line="570" w:lineRule="exact"/>
        <w:ind w:firstLine="640" w:firstLineChars="200"/>
        <w:jc w:val="both"/>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正确的评价方法是评价工作顺利开展的保障，在结合实际经验的情况下，绩效评价小组根据该项目资金的性质和特点，选用比较法、因素分析法、公众评判法以及文献法对项目进行评价，旨在通过综合分析影响绩效目标实现、实施效果的内外部因素，从而评价该项目绩效。三级指标分析环节：总体采用比较法，同时辅以文献法、成本效益法、因素分析法以及公众评判法，根据不同三级指标类型进行逐项分析。</w:t>
      </w:r>
    </w:p>
    <w:p>
      <w:pPr>
        <w:pStyle w:val="43"/>
        <w:pageBreakBefore w:val="0"/>
        <w:tabs>
          <w:tab w:val="left" w:pos="1559"/>
        </w:tabs>
        <w:kinsoku/>
        <w:wordWrap/>
        <w:topLinePunct w:val="0"/>
        <w:autoSpaceDE/>
        <w:bidi w:val="0"/>
        <w:adjustRightInd w:val="0"/>
        <w:snapToGrid w:val="0"/>
        <w:spacing w:line="570" w:lineRule="exact"/>
        <w:ind w:firstLine="640" w:firstLineChars="200"/>
        <w:jc w:val="both"/>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①定量指标分析环节：主要采用比较法，对比三级指标预期指标值和三级指标</w:t>
      </w:r>
      <w:r>
        <w:rPr>
          <w:rFonts w:hint="eastAsia" w:ascii="方正仿宋_GBK" w:hAnsi="方正仿宋_GBK" w:eastAsia="方正仿宋_GBK" w:cs="方正仿宋_GBK"/>
          <w:bCs/>
          <w:color w:val="auto"/>
          <w:sz w:val="32"/>
          <w:szCs w:val="32"/>
          <w:highlight w:val="none"/>
          <w:lang w:eastAsia="zh-CN"/>
        </w:rPr>
        <w:t>截至</w:t>
      </w:r>
      <w:r>
        <w:rPr>
          <w:rFonts w:hint="eastAsia" w:ascii="方正仿宋_GBK" w:hAnsi="方正仿宋_GBK" w:eastAsia="方正仿宋_GBK" w:cs="方正仿宋_GBK"/>
          <w:bCs/>
          <w:color w:val="auto"/>
          <w:sz w:val="32"/>
          <w:szCs w:val="32"/>
          <w:highlight w:val="none"/>
        </w:rPr>
        <w:t>评价日的完成情况，综合分析绩效目标实现程度。详细评价方法的应用如下:</w:t>
      </w:r>
    </w:p>
    <w:p>
      <w:pPr>
        <w:pStyle w:val="43"/>
        <w:pageBreakBefore w:val="0"/>
        <w:tabs>
          <w:tab w:val="left" w:pos="1559"/>
        </w:tabs>
        <w:kinsoku/>
        <w:wordWrap/>
        <w:topLinePunct w:val="0"/>
        <w:autoSpaceDE/>
        <w:bidi w:val="0"/>
        <w:adjustRightInd w:val="0"/>
        <w:snapToGrid w:val="0"/>
        <w:spacing w:line="570" w:lineRule="exact"/>
        <w:ind w:firstLine="640" w:firstLineChars="200"/>
        <w:jc w:val="both"/>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一般量化统计类等定量指标：通过对比实际完成值和预期指标值，达成预期指标值的，得满分；对完成值高于指标值较多的，要分析原因，如果是由于年初指标值设定明显偏低造成的，要按照偏离程度适度调减分值；未完成指标值的，按照完成值与指标值的比值计算分值。</w:t>
      </w:r>
    </w:p>
    <w:p>
      <w:pPr>
        <w:pStyle w:val="43"/>
        <w:pageBreakBefore w:val="0"/>
        <w:tabs>
          <w:tab w:val="left" w:pos="1559"/>
        </w:tabs>
        <w:kinsoku/>
        <w:wordWrap/>
        <w:topLinePunct w:val="0"/>
        <w:autoSpaceDE/>
        <w:bidi w:val="0"/>
        <w:adjustRightInd w:val="0"/>
        <w:snapToGrid w:val="0"/>
        <w:spacing w:line="570" w:lineRule="exact"/>
        <w:ind w:left="0" w:leftChars="0" w:firstLine="640" w:firstLineChars="200"/>
        <w:jc w:val="both"/>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属于“是”或“否”判断的单一评判定量指标：比较法，符合要求的得满分，不符合要求的不得分或者扣相应的分数。</w:t>
      </w:r>
    </w:p>
    <w:p>
      <w:pPr>
        <w:pStyle w:val="43"/>
        <w:pageBreakBefore w:val="0"/>
        <w:tabs>
          <w:tab w:val="left" w:pos="1559"/>
        </w:tabs>
        <w:kinsoku/>
        <w:wordWrap/>
        <w:topLinePunct w:val="0"/>
        <w:autoSpaceDE/>
        <w:bidi w:val="0"/>
        <w:adjustRightInd w:val="0"/>
        <w:snapToGrid w:val="0"/>
        <w:spacing w:line="570" w:lineRule="exact"/>
        <w:ind w:firstLine="640" w:firstLineChars="200"/>
        <w:jc w:val="both"/>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满意度指标：主要采用比较法，据满意度问卷统计结果计算指标完成比率，将指标完成比率与预期指标值对比，达成满意度预期目标的，得满分；未完成指标值的，按照完成值与预期指标值的比值计算得分；满意度小于60%不得分。</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bCs/>
          <w:color w:val="auto"/>
          <w:sz w:val="32"/>
          <w:szCs w:val="32"/>
          <w:highlight w:val="none"/>
        </w:rPr>
        <w:t>②定性指标分析环节：主要采用公众评判法，通过问卷及抽样调查等方式评价本项目实施后社会公众对于其实施效果的满意程度，将调研结果按照《项目支出绩效评价管理办法》（财预〔2020〕10号）、《关于印发&lt;自治区项目支出绩效目标设置指引&gt;的通知》（新财预〔2022〕42号）文件要求分为基本达成目标、部分实现目标、实现目标程度较低三档，分别按照该指标对应分值区间100%-80%（含）、80%-60%（含）、60%-0%合理确定分值，详细评价方法的应用如下:</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项目决策：</w:t>
      </w:r>
      <w:r>
        <w:rPr>
          <w:rFonts w:hint="default" w:ascii="方正仿宋_GBK" w:hAnsi="方正仿宋_GBK" w:eastAsia="方正仿宋_GBK" w:cs="方正仿宋_GBK"/>
          <w:color w:val="auto"/>
          <w:spacing w:val="6"/>
          <w:kern w:val="0"/>
          <w:sz w:val="32"/>
          <w:szCs w:val="32"/>
          <w:highlight w:val="none"/>
          <w:lang w:val="en-US" w:eastAsia="zh-CN" w:bidi="ar"/>
        </w:rPr>
        <w:t>①</w:t>
      </w:r>
      <w:r>
        <w:rPr>
          <w:rFonts w:hint="eastAsia" w:ascii="方正仿宋_GBK" w:hAnsi="方正仿宋_GBK" w:eastAsia="方正仿宋_GBK" w:cs="方正仿宋_GBK"/>
          <w:color w:val="auto"/>
          <w:spacing w:val="6"/>
          <w:kern w:val="0"/>
          <w:sz w:val="32"/>
          <w:szCs w:val="32"/>
          <w:highlight w:val="none"/>
          <w:lang w:val="en-US" w:eastAsia="zh-CN" w:bidi="ar"/>
        </w:rPr>
        <w:t>立项依据充分性：比较法、文献法，查找法律法规政策以及规划，对比实际执行内容和政策支持内容是否匹配。</w:t>
      </w:r>
      <w:r>
        <w:rPr>
          <w:rFonts w:hint="default" w:ascii="方正仿宋_GBK" w:hAnsi="方正仿宋_GBK" w:eastAsia="方正仿宋_GBK" w:cs="方正仿宋_GBK"/>
          <w:color w:val="auto"/>
          <w:spacing w:val="6"/>
          <w:kern w:val="0"/>
          <w:sz w:val="32"/>
          <w:szCs w:val="32"/>
          <w:highlight w:val="none"/>
          <w:lang w:val="en-US" w:eastAsia="zh-CN" w:bidi="ar"/>
        </w:rPr>
        <w:t>②</w:t>
      </w:r>
      <w:r>
        <w:rPr>
          <w:rFonts w:hint="eastAsia" w:ascii="方正仿宋_GBK" w:hAnsi="方正仿宋_GBK" w:eastAsia="方正仿宋_GBK" w:cs="方正仿宋_GBK"/>
          <w:color w:val="auto"/>
          <w:spacing w:val="6"/>
          <w:kern w:val="0"/>
          <w:sz w:val="32"/>
          <w:szCs w:val="32"/>
          <w:highlight w:val="none"/>
          <w:lang w:val="en-US" w:eastAsia="zh-CN" w:bidi="ar"/>
        </w:rPr>
        <w:t>立项程序规范性：比较法、文献法，查找相关项目设立的政策和文件要求，对比分析实际执行程序是否按照政策及文件要求执行，分析立项程序的规范性。</w:t>
      </w:r>
      <w:r>
        <w:rPr>
          <w:rFonts w:hint="default" w:ascii="方正仿宋_GBK" w:hAnsi="方正仿宋_GBK" w:eastAsia="方正仿宋_GBK" w:cs="方正仿宋_GBK"/>
          <w:color w:val="auto"/>
          <w:spacing w:val="6"/>
          <w:kern w:val="0"/>
          <w:sz w:val="32"/>
          <w:szCs w:val="32"/>
          <w:highlight w:val="none"/>
          <w:lang w:val="en-US" w:eastAsia="zh-CN" w:bidi="ar"/>
        </w:rPr>
        <w:t>③</w:t>
      </w:r>
      <w:r>
        <w:rPr>
          <w:rFonts w:hint="eastAsia" w:ascii="方正仿宋_GBK" w:hAnsi="方正仿宋_GBK" w:eastAsia="方正仿宋_GBK" w:cs="方正仿宋_GBK"/>
          <w:color w:val="auto"/>
          <w:spacing w:val="6"/>
          <w:kern w:val="0"/>
          <w:sz w:val="32"/>
          <w:szCs w:val="32"/>
          <w:highlight w:val="none"/>
          <w:lang w:val="en-US" w:eastAsia="zh-CN" w:bidi="ar"/>
        </w:rPr>
        <w:t>绩效目标合理性：比较法，对比分析年初编制项目支出绩效目标表与项目内容的相关性、资金的匹配性等。④绩效指标明确性：比较法，比较分析年初编制项目支出绩效目标表是否符合双七原则，是否可衡量。⑤预算编制科学性：成本效益分析法</w:t>
      </w:r>
      <w:r>
        <w:rPr>
          <w:rFonts w:hint="eastAsia" w:ascii="方正仿宋_GBK" w:hAnsi="方正仿宋_GBK" w:eastAsia="方正仿宋_GBK" w:cs="方正仿宋_GBK"/>
          <w:color w:val="auto"/>
          <w:spacing w:val="6"/>
          <w:kern w:val="0"/>
          <w:sz w:val="32"/>
          <w:szCs w:val="32"/>
          <w:highlight w:val="none"/>
          <w:lang w:val="en-US" w:eastAsia="zh-CN" w:bidi="ar"/>
        </w:rPr>
        <w:tab/>
      </w:r>
      <w:r>
        <w:rPr>
          <w:rFonts w:hint="eastAsia" w:ascii="方正仿宋_GBK" w:hAnsi="方正仿宋_GBK" w:eastAsia="方正仿宋_GBK" w:cs="方正仿宋_GBK"/>
          <w:color w:val="auto"/>
          <w:spacing w:val="6"/>
          <w:kern w:val="0"/>
          <w:sz w:val="32"/>
          <w:szCs w:val="32"/>
          <w:highlight w:val="none"/>
          <w:lang w:val="en-US" w:eastAsia="zh-CN" w:bidi="ar"/>
        </w:rPr>
        <w:t>分析在产出一定的情况下，成本取值是否有依据，是否经过询价，是否按照市场最低成本编制。⑥资金分配合理性：因素分析法，综合分析资金的分配依据是否充分，分配金额是否与项目实施单位需求金额一致。</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项目过程：</w:t>
      </w:r>
      <w:r>
        <w:rPr>
          <w:rFonts w:hint="default" w:ascii="方正仿宋_GBK" w:hAnsi="方正仿宋_GBK" w:eastAsia="方正仿宋_GBK" w:cs="方正仿宋_GBK"/>
          <w:color w:val="auto"/>
          <w:spacing w:val="6"/>
          <w:kern w:val="0"/>
          <w:sz w:val="32"/>
          <w:szCs w:val="32"/>
          <w:highlight w:val="none"/>
          <w:lang w:val="en-US" w:eastAsia="zh-CN" w:bidi="ar"/>
        </w:rPr>
        <w:t>①</w:t>
      </w:r>
      <w:r>
        <w:rPr>
          <w:rFonts w:hint="eastAsia" w:ascii="方正仿宋_GBK" w:hAnsi="方正仿宋_GBK" w:eastAsia="方正仿宋_GBK" w:cs="方正仿宋_GBK"/>
          <w:color w:val="auto"/>
          <w:spacing w:val="6"/>
          <w:kern w:val="0"/>
          <w:sz w:val="32"/>
          <w:szCs w:val="32"/>
          <w:highlight w:val="none"/>
          <w:lang w:val="en-US" w:eastAsia="zh-CN" w:bidi="ar"/>
        </w:rPr>
        <w:t>资金到位率：比较法，资金到位率预期指标值应为100%，通过实际计算，分析实际完成值和预期指标值之间的差距和原因。</w:t>
      </w:r>
      <w:r>
        <w:rPr>
          <w:rFonts w:hint="default" w:ascii="方正仿宋_GBK" w:hAnsi="方正仿宋_GBK" w:eastAsia="方正仿宋_GBK" w:cs="方正仿宋_GBK"/>
          <w:color w:val="auto"/>
          <w:spacing w:val="6"/>
          <w:kern w:val="0"/>
          <w:sz w:val="32"/>
          <w:szCs w:val="32"/>
          <w:highlight w:val="none"/>
          <w:lang w:val="en-US" w:eastAsia="zh-CN" w:bidi="ar"/>
        </w:rPr>
        <w:t>②</w:t>
      </w:r>
      <w:r>
        <w:rPr>
          <w:rFonts w:hint="eastAsia" w:ascii="方正仿宋_GBK" w:hAnsi="方正仿宋_GBK" w:eastAsia="方正仿宋_GBK" w:cs="方正仿宋_GBK"/>
          <w:color w:val="auto"/>
          <w:spacing w:val="6"/>
          <w:kern w:val="0"/>
          <w:sz w:val="32"/>
          <w:szCs w:val="32"/>
          <w:highlight w:val="none"/>
          <w:lang w:val="en-US" w:eastAsia="zh-CN" w:bidi="ar"/>
        </w:rPr>
        <w:t>预算执行率：比较法，预算执行率预期指标值应为100%，通过实际计算，分析实际完成值和预期指标值之间的差距和原因。</w:t>
      </w:r>
      <w:r>
        <w:rPr>
          <w:rFonts w:hint="default" w:ascii="方正仿宋_GBK" w:hAnsi="方正仿宋_GBK" w:eastAsia="方正仿宋_GBK" w:cs="方正仿宋_GBK"/>
          <w:color w:val="auto"/>
          <w:spacing w:val="6"/>
          <w:kern w:val="0"/>
          <w:sz w:val="32"/>
          <w:szCs w:val="32"/>
          <w:highlight w:val="none"/>
          <w:lang w:val="en-US" w:eastAsia="zh-CN" w:bidi="ar"/>
        </w:rPr>
        <w:t>③</w:t>
      </w:r>
      <w:r>
        <w:rPr>
          <w:rFonts w:hint="eastAsia" w:ascii="方正仿宋_GBK" w:hAnsi="方正仿宋_GBK" w:eastAsia="方正仿宋_GBK" w:cs="方正仿宋_GBK"/>
          <w:color w:val="auto"/>
          <w:spacing w:val="6"/>
          <w:kern w:val="0"/>
          <w:sz w:val="32"/>
          <w:szCs w:val="32"/>
          <w:highlight w:val="none"/>
          <w:lang w:val="en-US" w:eastAsia="zh-CN" w:bidi="ar"/>
        </w:rPr>
        <w:t>资金使用合规性：文献法、实地勘察法，一是查找资金管理办法，包括专项资金管理办法和单位自有资金管理办法；二是通过查账了解具体开支情况，是否专款专用，是否按照标准支出。④管理制度健全性：文献法、比较法，查阅项目实施人员提供的财务和业务管理制度，将已建立的制度与现行的法律法规和政策要求进行对比，分析项目制度的合法性、合规性、完整性。⑤制度执行有效性：比较法，结合项目实际实施过程性文件，根据已建设的财务管理制度和项目管理制度综合分析制度执行的有效性。</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项目产出：比较法，将实际完成值与年初指标值相比，完成指标值该指标赋全部分值；对完成值高于指标值较多的，要分析原因，如果是由于年初指标值设定明显偏低造成的，要按照偏离度适度调减分值；未完成指标值的，按照完成值与指标值的比例计分。公众评判法。</w:t>
      </w:r>
    </w:p>
    <w:p>
      <w:pPr>
        <w:pStyle w:val="35"/>
        <w:pageBreakBefore w:val="0"/>
        <w:kinsoku/>
        <w:wordWrap/>
        <w:topLinePunct w:val="0"/>
        <w:autoSpaceDE/>
        <w:autoSpaceDN/>
        <w:bidi w:val="0"/>
        <w:spacing w:line="570" w:lineRule="exact"/>
        <w:ind w:firstLine="640"/>
        <w:jc w:val="both"/>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项目效益：公众评判法、实地勘察法，通过实地勘察、问卷及抽样调查等方式评价本项目实施后社会公众或服务对象对项目实施效果的满意程度。</w:t>
      </w:r>
    </w:p>
    <w:p>
      <w:pPr>
        <w:pStyle w:val="35"/>
        <w:pageBreakBefore w:val="0"/>
        <w:numPr>
          <w:ilvl w:val="0"/>
          <w:numId w:val="0"/>
        </w:numPr>
        <w:kinsoku/>
        <w:wordWrap/>
        <w:topLinePunct w:val="0"/>
        <w:autoSpaceDE/>
        <w:autoSpaceDN/>
        <w:bidi w:val="0"/>
        <w:spacing w:line="570" w:lineRule="exact"/>
        <w:ind w:firstLine="667" w:firstLineChars="200"/>
        <w:jc w:val="both"/>
        <w:rPr>
          <w:rFonts w:hint="eastAsia" w:ascii="方正仿宋_GBK" w:hAnsi="方正仿宋_GBK" w:eastAsia="方正仿宋_GBK" w:cs="方正仿宋_GBK"/>
          <w:b/>
          <w:bCs/>
          <w:color w:val="auto"/>
          <w:spacing w:val="6"/>
          <w:kern w:val="0"/>
          <w:sz w:val="32"/>
          <w:szCs w:val="32"/>
          <w:highlight w:val="none"/>
          <w:lang w:val="en-US" w:eastAsia="zh-CN" w:bidi="ar"/>
        </w:rPr>
      </w:pPr>
      <w:r>
        <w:rPr>
          <w:rFonts w:hint="eastAsia" w:ascii="方正仿宋_GBK" w:hAnsi="方正仿宋_GBK" w:eastAsia="方正仿宋_GBK" w:cs="方正仿宋_GBK"/>
          <w:b/>
          <w:bCs/>
          <w:color w:val="auto"/>
          <w:spacing w:val="6"/>
          <w:kern w:val="0"/>
          <w:sz w:val="32"/>
          <w:szCs w:val="32"/>
          <w:highlight w:val="none"/>
          <w:lang w:val="en-US" w:eastAsia="zh-CN" w:bidi="ar"/>
        </w:rPr>
        <w:t>4.绩效评价标准</w:t>
      </w:r>
      <w:bookmarkEnd w:id="73"/>
      <w:bookmarkEnd w:id="74"/>
      <w:bookmarkEnd w:id="75"/>
      <w:bookmarkEnd w:id="76"/>
      <w:bookmarkEnd w:id="77"/>
      <w:bookmarkEnd w:id="78"/>
      <w:bookmarkEnd w:id="79"/>
      <w:bookmarkEnd w:id="80"/>
      <w:bookmarkEnd w:id="81"/>
      <w:bookmarkStart w:id="84" w:name="_Toc28539830"/>
      <w:bookmarkStart w:id="85" w:name="_Toc31947"/>
    </w:p>
    <w:p>
      <w:pPr>
        <w:pageBreakBefore w:val="0"/>
        <w:kinsoku/>
        <w:wordWrap/>
        <w:bidi w:val="0"/>
        <w:spacing w:line="570" w:lineRule="exact"/>
        <w:ind w:firstLine="640" w:firstLineChars="200"/>
        <w:jc w:val="both"/>
        <w:rPr>
          <w:rFonts w:hint="eastAsia" w:ascii="方正仿宋_GBK" w:hAnsi="方正仿宋_GBK" w:eastAsia="方正仿宋_GBK" w:cs="方正仿宋_GBK"/>
          <w:color w:val="auto"/>
          <w:spacing w:val="0"/>
          <w:kern w:val="0"/>
          <w:sz w:val="32"/>
          <w:szCs w:val="32"/>
          <w:highlight w:val="none"/>
          <w:lang w:val="en-US" w:eastAsia="zh-CN" w:bidi="ar"/>
        </w:rPr>
      </w:pPr>
      <w:r>
        <w:rPr>
          <w:rFonts w:hint="eastAsia" w:ascii="方正仿宋_GBK" w:hAnsi="方正仿宋_GBK" w:eastAsia="方正仿宋_GBK" w:cs="方正仿宋_GBK"/>
          <w:color w:val="auto"/>
          <w:spacing w:val="0"/>
          <w:kern w:val="0"/>
          <w:sz w:val="32"/>
          <w:szCs w:val="32"/>
          <w:highlight w:val="none"/>
          <w:lang w:val="en-US" w:eastAsia="zh-CN" w:bidi="ar"/>
        </w:rPr>
        <w:t>绩效评价标准通常包括计划标准、行业标准、历史标准等，用于对绩效指标完成情况进行比较、分析、评价。本次评价主要采用了计划标准。</w:t>
      </w:r>
    </w:p>
    <w:p>
      <w:pPr>
        <w:pStyle w:val="35"/>
        <w:pageBreakBefore w:val="0"/>
        <w:numPr>
          <w:ilvl w:val="0"/>
          <w:numId w:val="0"/>
        </w:numPr>
        <w:kinsoku/>
        <w:wordWrap/>
        <w:topLinePunct w:val="0"/>
        <w:autoSpaceDE/>
        <w:autoSpaceDN/>
        <w:bidi w:val="0"/>
        <w:spacing w:line="57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rPr>
      </w:pPr>
      <w:r>
        <w:rPr>
          <w:rFonts w:hint="eastAsia" w:eastAsia="方正仿宋_GBK" w:cs="方正仿宋_GBK"/>
          <w:b w:val="0"/>
          <w:bCs w:val="0"/>
          <w:color w:val="auto"/>
          <w:sz w:val="32"/>
          <w:szCs w:val="32"/>
          <w:highlight w:val="none"/>
          <w:lang w:val="en-US" w:eastAsia="zh-CN"/>
        </w:rPr>
        <w:t>计划标准：该</w:t>
      </w:r>
      <w:r>
        <w:rPr>
          <w:rFonts w:hint="eastAsia" w:ascii="Times New Roman" w:hAnsi="Times New Roman" w:eastAsia="方正仿宋_GBK" w:cs="方正仿宋_GBK"/>
          <w:b w:val="0"/>
          <w:bCs w:val="0"/>
          <w:color w:val="auto"/>
          <w:sz w:val="32"/>
          <w:szCs w:val="32"/>
          <w:highlight w:val="none"/>
          <w:lang w:val="en-US" w:eastAsia="zh-CN"/>
        </w:rPr>
        <w:t>项目预先制定的目标、计划、预算、定额等作为评价标准。</w:t>
      </w:r>
      <w:r>
        <w:rPr>
          <w:rFonts w:hint="eastAsia" w:ascii="方正仿宋_GBK" w:hAnsi="方正仿宋_GBK" w:eastAsia="方正仿宋_GBK" w:cs="方正仿宋_GBK"/>
          <w:b w:val="0"/>
          <w:bCs w:val="0"/>
          <w:color w:val="auto"/>
          <w:sz w:val="32"/>
          <w:szCs w:val="32"/>
          <w:highlight w:val="none"/>
          <w:lang w:val="en-US" w:eastAsia="zh-CN"/>
        </w:rPr>
        <w:t>伽师县农技中心2022年第三次全国土壤普查工作项目按照《伽师县农技中心2022年第三次全国土壤普查工作项目实施方案》及《关于下达2022年中央农业资源及生态保护补助（统筹整合部分）》（喀地财农〔2022〕12号）文件》事先制定目标、计划、预算、定额等预计数据作为评价财政支出绩效的标准。通过将实际完成值与预订数据进行对比，发现差异并达到评价目的。</w:t>
      </w:r>
    </w:p>
    <w:p>
      <w:pPr>
        <w:pStyle w:val="37"/>
        <w:keepNext/>
        <w:keepLines/>
        <w:pageBreakBefore w:val="0"/>
        <w:widowControl w:val="0"/>
        <w:kinsoku/>
        <w:wordWrap/>
        <w:overflowPunct/>
        <w:topLinePunct w:val="0"/>
        <w:autoSpaceDE/>
        <w:autoSpaceDN/>
        <w:bidi w:val="0"/>
        <w:adjustRightInd/>
        <w:snapToGrid/>
        <w:spacing w:line="570" w:lineRule="exact"/>
        <w:ind w:left="560"/>
        <w:jc w:val="both"/>
        <w:textAlignment w:val="auto"/>
        <w:rPr>
          <w:rFonts w:hint="eastAsia" w:ascii="方正楷体_GBK" w:hAnsi="方正楷体_GBK" w:eastAsia="方正楷体_GBK" w:cs="方正楷体_GBK"/>
          <w:b/>
          <w:bCs/>
          <w:sz w:val="32"/>
          <w:highlight w:val="none"/>
          <w:lang w:val="en-US" w:eastAsia="zh-CN"/>
        </w:rPr>
      </w:pPr>
      <w:bookmarkStart w:id="86" w:name="_Toc7522_WPSOffice_Level2"/>
      <w:r>
        <w:rPr>
          <w:rFonts w:hint="eastAsia" w:ascii="方正楷体_GBK" w:hAnsi="方正楷体_GBK" w:eastAsia="方正楷体_GBK" w:cs="方正楷体_GBK"/>
          <w:b/>
          <w:bCs/>
          <w:sz w:val="32"/>
          <w:highlight w:val="none"/>
          <w:lang w:val="en-US" w:eastAsia="zh-CN"/>
        </w:rPr>
        <w:t>（三）绩效评价工作过程</w:t>
      </w:r>
      <w:bookmarkEnd w:id="86"/>
    </w:p>
    <w:p>
      <w:pPr>
        <w:keepNext w:val="0"/>
        <w:keepLines w:val="0"/>
        <w:pageBreakBefore w:val="0"/>
        <w:widowControl/>
        <w:kinsoku/>
        <w:wordWrap/>
        <w:overflowPunct w:val="0"/>
        <w:topLinePunct w:val="0"/>
        <w:autoSpaceDE w:val="0"/>
        <w:autoSpaceDN w:val="0"/>
        <w:bidi w:val="0"/>
        <w:adjustRightInd w:val="0"/>
        <w:snapToGrid/>
        <w:spacing w:line="570" w:lineRule="exact"/>
        <w:ind w:firstLine="667" w:firstLineChars="200"/>
        <w:jc w:val="both"/>
        <w:textAlignment w:val="baseline"/>
        <w:rPr>
          <w:rFonts w:hint="default" w:ascii="方正仿宋_GBK" w:hAnsi="方正仿宋_GBK" w:eastAsia="方正仿宋_GBK" w:cs="方正仿宋_GBK"/>
          <w:b/>
          <w:bCs/>
          <w:color w:val="auto"/>
          <w:spacing w:val="6"/>
          <w:kern w:val="0"/>
          <w:sz w:val="32"/>
          <w:szCs w:val="32"/>
          <w:highlight w:val="none"/>
          <w:lang w:val="en-US" w:eastAsia="zh-CN" w:bidi="ar"/>
        </w:rPr>
      </w:pPr>
      <w:r>
        <w:rPr>
          <w:rFonts w:hint="default" w:ascii="方正仿宋_GBK" w:hAnsi="方正仿宋_GBK" w:eastAsia="方正仿宋_GBK" w:cs="方正仿宋_GBK"/>
          <w:b/>
          <w:bCs/>
          <w:color w:val="auto"/>
          <w:spacing w:val="6"/>
          <w:kern w:val="0"/>
          <w:sz w:val="32"/>
          <w:szCs w:val="32"/>
          <w:highlight w:val="none"/>
          <w:lang w:val="en-US" w:eastAsia="zh-CN" w:bidi="ar"/>
        </w:rPr>
        <w:t>1.评价人员</w:t>
      </w:r>
      <w:bookmarkEnd w:id="84"/>
      <w:bookmarkEnd w:id="85"/>
    </w:p>
    <w:p>
      <w:pPr>
        <w:keepNext w:val="0"/>
        <w:keepLines w:val="0"/>
        <w:pageBreakBefore w:val="0"/>
        <w:widowControl/>
        <w:kinsoku/>
        <w:wordWrap/>
        <w:overflowPunct w:val="0"/>
        <w:topLinePunct w:val="0"/>
        <w:autoSpaceDE w:val="0"/>
        <w:autoSpaceDN w:val="0"/>
        <w:bidi w:val="0"/>
        <w:adjustRightInd w:val="0"/>
        <w:snapToGrid/>
        <w:spacing w:line="570" w:lineRule="exact"/>
        <w:ind w:firstLine="664" w:firstLineChars="200"/>
        <w:jc w:val="both"/>
        <w:textAlignment w:val="baseline"/>
        <w:rPr>
          <w:rFonts w:hint="default" w:ascii="方正仿宋_GBK" w:hAnsi="方正仿宋_GBK" w:eastAsia="方正仿宋_GBK" w:cs="方正仿宋_GBK"/>
          <w:color w:val="auto"/>
          <w:spacing w:val="6"/>
          <w:kern w:val="0"/>
          <w:sz w:val="32"/>
          <w:szCs w:val="32"/>
          <w:highlight w:val="none"/>
          <w:lang w:val="en-US" w:eastAsia="zh-CN" w:bidi="ar"/>
        </w:rPr>
      </w:pPr>
      <w:r>
        <w:rPr>
          <w:rFonts w:hint="default" w:ascii="方正仿宋_GBK" w:hAnsi="方正仿宋_GBK" w:eastAsia="方正仿宋_GBK" w:cs="方正仿宋_GBK"/>
          <w:color w:val="auto"/>
          <w:spacing w:val="6"/>
          <w:kern w:val="0"/>
          <w:sz w:val="32"/>
          <w:szCs w:val="32"/>
          <w:highlight w:val="none"/>
          <w:lang w:val="en-US" w:eastAsia="zh-CN" w:bidi="ar"/>
        </w:rPr>
        <w:t>本次评价委托方为</w:t>
      </w:r>
      <w:r>
        <w:rPr>
          <w:rFonts w:hint="eastAsia" w:ascii="方正仿宋_GBK" w:hAnsi="方正仿宋_GBK" w:eastAsia="方正仿宋_GBK" w:cs="方正仿宋_GBK"/>
          <w:color w:val="auto"/>
          <w:spacing w:val="6"/>
          <w:kern w:val="0"/>
          <w:sz w:val="32"/>
          <w:szCs w:val="32"/>
          <w:highlight w:val="none"/>
          <w:lang w:val="en-US" w:eastAsia="zh-CN" w:bidi="ar"/>
        </w:rPr>
        <w:t>伽师县财政局</w:t>
      </w:r>
      <w:r>
        <w:rPr>
          <w:rFonts w:hint="default" w:ascii="方正仿宋_GBK" w:hAnsi="方正仿宋_GBK" w:eastAsia="方正仿宋_GBK" w:cs="方正仿宋_GBK"/>
          <w:color w:val="auto"/>
          <w:spacing w:val="6"/>
          <w:kern w:val="0"/>
          <w:sz w:val="32"/>
          <w:szCs w:val="32"/>
          <w:highlight w:val="none"/>
          <w:lang w:val="en-US" w:eastAsia="zh-CN" w:bidi="ar"/>
        </w:rPr>
        <w:t>，受托方为</w:t>
      </w:r>
      <w:r>
        <w:rPr>
          <w:rFonts w:hint="eastAsia" w:ascii="方正仿宋_GBK" w:hAnsi="方正仿宋_GBK" w:eastAsia="方正仿宋_GBK" w:cs="方正仿宋_GBK"/>
          <w:color w:val="auto"/>
          <w:spacing w:val="6"/>
          <w:kern w:val="0"/>
          <w:sz w:val="32"/>
          <w:szCs w:val="32"/>
          <w:highlight w:val="none"/>
          <w:lang w:val="en-US" w:eastAsia="zh-CN" w:bidi="ar"/>
        </w:rPr>
        <w:t>新疆永信中正项目管理咨询有限公司</w:t>
      </w:r>
      <w:r>
        <w:rPr>
          <w:rFonts w:hint="default" w:ascii="方正仿宋_GBK" w:hAnsi="方正仿宋_GBK" w:eastAsia="方正仿宋_GBK" w:cs="方正仿宋_GBK"/>
          <w:color w:val="auto"/>
          <w:spacing w:val="6"/>
          <w:kern w:val="0"/>
          <w:sz w:val="32"/>
          <w:szCs w:val="32"/>
          <w:highlight w:val="none"/>
          <w:lang w:val="en-US" w:eastAsia="zh-CN" w:bidi="ar"/>
        </w:rPr>
        <w:t>。</w:t>
      </w:r>
      <w:r>
        <w:rPr>
          <w:rFonts w:hint="eastAsia" w:ascii="方正仿宋_GBK" w:hAnsi="方正仿宋_GBK" w:eastAsia="方正仿宋_GBK" w:cs="方正仿宋_GBK"/>
          <w:color w:val="auto"/>
          <w:spacing w:val="6"/>
          <w:kern w:val="0"/>
          <w:sz w:val="32"/>
          <w:szCs w:val="32"/>
          <w:highlight w:val="none"/>
          <w:lang w:val="en-US" w:eastAsia="zh-CN" w:bidi="ar"/>
        </w:rPr>
        <w:t>新疆永信中正项目管理咨询有限公司</w:t>
      </w:r>
      <w:r>
        <w:rPr>
          <w:rFonts w:hint="default" w:ascii="方正仿宋_GBK" w:hAnsi="方正仿宋_GBK" w:eastAsia="方正仿宋_GBK" w:cs="方正仿宋_GBK"/>
          <w:color w:val="auto"/>
          <w:spacing w:val="6"/>
          <w:kern w:val="0"/>
          <w:sz w:val="32"/>
          <w:szCs w:val="32"/>
          <w:highlight w:val="none"/>
          <w:lang w:val="en-US" w:eastAsia="zh-CN" w:bidi="ar"/>
        </w:rPr>
        <w:t>负责完成评价工作，公司高度重视此次</w:t>
      </w:r>
      <w:r>
        <w:rPr>
          <w:rFonts w:hint="eastAsia" w:ascii="方正仿宋_GBK" w:hAnsi="方正仿宋_GBK" w:eastAsia="方正仿宋_GBK" w:cs="方正仿宋_GBK"/>
          <w:color w:val="auto"/>
          <w:spacing w:val="6"/>
          <w:kern w:val="0"/>
          <w:sz w:val="32"/>
          <w:szCs w:val="32"/>
          <w:highlight w:val="none"/>
          <w:lang w:val="en-US" w:eastAsia="zh-CN" w:bidi="ar"/>
        </w:rPr>
        <w:t>伽师县财政局</w:t>
      </w:r>
      <w:r>
        <w:rPr>
          <w:rFonts w:hint="default" w:ascii="方正仿宋_GBK" w:hAnsi="方正仿宋_GBK" w:eastAsia="方正仿宋_GBK" w:cs="方正仿宋_GBK"/>
          <w:color w:val="auto"/>
          <w:spacing w:val="6"/>
          <w:kern w:val="0"/>
          <w:sz w:val="32"/>
          <w:szCs w:val="32"/>
          <w:highlight w:val="none"/>
          <w:lang w:val="en-US" w:eastAsia="zh-CN" w:bidi="ar"/>
        </w:rPr>
        <w:t>对重点评价工作的要求，配备专门人力，重视质量效益评价。组织人力进行前期调查、研究讨论、制定工作方案。具体人员名单如下：</w:t>
      </w:r>
    </w:p>
    <w:p>
      <w:pPr>
        <w:pStyle w:val="31"/>
        <w:keepNext w:val="0"/>
        <w:keepLines w:val="0"/>
        <w:pageBreakBefore w:val="0"/>
        <w:widowControl/>
        <w:kinsoku/>
        <w:wordWrap/>
        <w:overflowPunct/>
        <w:topLinePunct w:val="0"/>
        <w:autoSpaceDE/>
        <w:autoSpaceDN/>
        <w:bidi w:val="0"/>
        <w:adjustRightInd/>
        <w:snapToGrid/>
        <w:spacing w:line="570" w:lineRule="exact"/>
        <w:ind w:left="0" w:leftChars="0" w:firstLine="0" w:firstLineChars="0"/>
        <w:jc w:val="center"/>
        <w:textAlignment w:val="auto"/>
        <w:rPr>
          <w:rFonts w:hint="default" w:ascii="Times New Roman" w:hAnsi="Times New Roman" w:cs="Times New Roman"/>
          <w:b/>
          <w:bCs/>
          <w:color w:val="auto"/>
          <w:sz w:val="28"/>
          <w:szCs w:val="28"/>
          <w:highlight w:val="none"/>
          <w:lang w:bidi="ar"/>
        </w:rPr>
      </w:pPr>
      <w:r>
        <w:rPr>
          <w:rFonts w:hint="default" w:ascii="Times New Roman" w:hAnsi="Times New Roman" w:cs="Times New Roman"/>
          <w:b/>
          <w:bCs/>
          <w:color w:val="auto"/>
          <w:sz w:val="28"/>
          <w:szCs w:val="28"/>
          <w:highlight w:val="none"/>
          <w:lang w:bidi="ar"/>
        </w:rPr>
        <w:t>表</w:t>
      </w:r>
      <w:r>
        <w:rPr>
          <w:rFonts w:hint="default" w:ascii="Times New Roman" w:hAnsi="Times New Roman" w:cs="Times New Roman"/>
          <w:b/>
          <w:bCs/>
          <w:color w:val="auto"/>
          <w:sz w:val="28"/>
          <w:szCs w:val="28"/>
          <w:highlight w:val="none"/>
          <w:lang w:val="en-US" w:eastAsia="zh-CN" w:bidi="ar"/>
        </w:rPr>
        <w:t>2</w:t>
      </w:r>
      <w:r>
        <w:rPr>
          <w:rFonts w:hint="default" w:ascii="Times New Roman" w:hAnsi="Times New Roman" w:cs="Times New Roman"/>
          <w:b/>
          <w:bCs/>
          <w:color w:val="auto"/>
          <w:sz w:val="28"/>
          <w:szCs w:val="28"/>
          <w:highlight w:val="none"/>
          <w:lang w:bidi="ar"/>
        </w:rPr>
        <w:t>-</w:t>
      </w:r>
      <w:r>
        <w:rPr>
          <w:rFonts w:hint="default" w:ascii="Times New Roman" w:hAnsi="Times New Roman" w:cs="Times New Roman"/>
          <w:b/>
          <w:bCs/>
          <w:color w:val="auto"/>
          <w:sz w:val="28"/>
          <w:szCs w:val="28"/>
          <w:highlight w:val="none"/>
          <w:lang w:val="en-US" w:eastAsia="zh-CN" w:bidi="ar"/>
        </w:rPr>
        <w:t xml:space="preserve">1 </w:t>
      </w:r>
      <w:r>
        <w:rPr>
          <w:rFonts w:hint="default" w:ascii="Times New Roman" w:hAnsi="Times New Roman" w:cs="Times New Roman"/>
          <w:b/>
          <w:bCs/>
          <w:color w:val="auto"/>
          <w:sz w:val="28"/>
          <w:szCs w:val="28"/>
          <w:highlight w:val="none"/>
          <w:lang w:bidi="ar"/>
        </w:rPr>
        <w:t>评价组组员表</w:t>
      </w:r>
    </w:p>
    <w:tbl>
      <w:tblPr>
        <w:tblStyle w:val="21"/>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368"/>
        <w:gridCol w:w="1357"/>
        <w:gridCol w:w="4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888" w:type="dxa"/>
            <w:tcBorders>
              <w:top w:val="single" w:color="auto" w:sz="4" w:space="0"/>
              <w:left w:val="single" w:color="auto" w:sz="4" w:space="0"/>
              <w:bottom w:val="single" w:color="auto" w:sz="4" w:space="0"/>
              <w:right w:val="single" w:color="auto" w:sz="4" w:space="0"/>
              <w:tl2br w:val="nil"/>
              <w:tr2bl w:val="nil"/>
            </w:tcBorders>
            <w:shd w:val="clear" w:color="auto" w:fill="A6A6A6"/>
            <w:noWrap w:val="0"/>
            <w:vAlign w:val="center"/>
          </w:tcPr>
          <w:p>
            <w:pPr>
              <w:pageBreakBefore w:val="0"/>
              <w:widowControl/>
              <w:kinsoku/>
              <w:wordWrap/>
              <w:bidi w:val="0"/>
              <w:spacing w:line="570" w:lineRule="exact"/>
              <w:jc w:val="both"/>
              <w:rPr>
                <w:rFonts w:hint="default" w:ascii="Times New Roman" w:hAnsi="Times New Roman" w:eastAsia="仿宋_GB2312" w:cs="Times New Roman"/>
                <w:b/>
                <w:color w:val="auto"/>
                <w:kern w:val="0"/>
                <w:sz w:val="22"/>
                <w:highlight w:val="none"/>
              </w:rPr>
            </w:pPr>
            <w:r>
              <w:rPr>
                <w:rFonts w:hint="default" w:ascii="Times New Roman" w:hAnsi="Times New Roman" w:eastAsia="仿宋_GB2312" w:cs="Times New Roman"/>
                <w:b/>
                <w:color w:val="auto"/>
                <w:kern w:val="0"/>
                <w:sz w:val="22"/>
                <w:highlight w:val="none"/>
              </w:rPr>
              <w:t>序号</w:t>
            </w:r>
          </w:p>
        </w:tc>
        <w:tc>
          <w:tcPr>
            <w:tcW w:w="1368" w:type="dxa"/>
            <w:tcBorders>
              <w:top w:val="single" w:color="auto" w:sz="4" w:space="0"/>
              <w:left w:val="single" w:color="auto" w:sz="4" w:space="0"/>
              <w:bottom w:val="single" w:color="auto" w:sz="4" w:space="0"/>
              <w:right w:val="single" w:color="auto" w:sz="4" w:space="0"/>
              <w:tl2br w:val="nil"/>
              <w:tr2bl w:val="nil"/>
            </w:tcBorders>
            <w:shd w:val="clear" w:color="auto" w:fill="A6A6A6"/>
            <w:noWrap w:val="0"/>
            <w:vAlign w:val="center"/>
          </w:tcPr>
          <w:p>
            <w:pPr>
              <w:pageBreakBefore w:val="0"/>
              <w:widowControl/>
              <w:kinsoku/>
              <w:wordWrap/>
              <w:bidi w:val="0"/>
              <w:spacing w:line="570" w:lineRule="exact"/>
              <w:jc w:val="both"/>
              <w:rPr>
                <w:rFonts w:hint="default" w:ascii="Times New Roman" w:hAnsi="Times New Roman" w:eastAsia="仿宋_GB2312" w:cs="Times New Roman"/>
                <w:b/>
                <w:color w:val="auto"/>
                <w:kern w:val="0"/>
                <w:sz w:val="22"/>
                <w:highlight w:val="none"/>
              </w:rPr>
            </w:pPr>
            <w:r>
              <w:rPr>
                <w:rFonts w:hint="default" w:ascii="Times New Roman" w:hAnsi="Times New Roman" w:eastAsia="仿宋_GB2312" w:cs="Times New Roman"/>
                <w:b/>
                <w:color w:val="auto"/>
                <w:kern w:val="0"/>
                <w:sz w:val="22"/>
                <w:highlight w:val="none"/>
              </w:rPr>
              <w:t>姓名</w:t>
            </w:r>
          </w:p>
        </w:tc>
        <w:tc>
          <w:tcPr>
            <w:tcW w:w="1357" w:type="dxa"/>
            <w:tcBorders>
              <w:top w:val="single" w:color="auto" w:sz="4" w:space="0"/>
              <w:left w:val="single" w:color="auto" w:sz="4" w:space="0"/>
              <w:bottom w:val="single" w:color="auto" w:sz="4" w:space="0"/>
              <w:right w:val="single" w:color="auto" w:sz="4" w:space="0"/>
              <w:tl2br w:val="nil"/>
              <w:tr2bl w:val="nil"/>
            </w:tcBorders>
            <w:shd w:val="clear" w:color="auto" w:fill="A6A6A6"/>
            <w:noWrap w:val="0"/>
            <w:vAlign w:val="center"/>
          </w:tcPr>
          <w:p>
            <w:pPr>
              <w:pageBreakBefore w:val="0"/>
              <w:widowControl/>
              <w:kinsoku/>
              <w:wordWrap/>
              <w:bidi w:val="0"/>
              <w:spacing w:line="570" w:lineRule="exact"/>
              <w:jc w:val="both"/>
              <w:rPr>
                <w:rFonts w:hint="default" w:ascii="Times New Roman" w:hAnsi="Times New Roman" w:eastAsia="仿宋_GB2312" w:cs="Times New Roman"/>
                <w:b/>
                <w:color w:val="auto"/>
                <w:kern w:val="0"/>
                <w:sz w:val="22"/>
                <w:highlight w:val="none"/>
              </w:rPr>
            </w:pPr>
            <w:r>
              <w:rPr>
                <w:rFonts w:hint="default" w:ascii="Times New Roman" w:hAnsi="Times New Roman" w:eastAsia="仿宋_GB2312" w:cs="Times New Roman"/>
                <w:b/>
                <w:color w:val="auto"/>
                <w:kern w:val="0"/>
                <w:sz w:val="22"/>
                <w:highlight w:val="none"/>
              </w:rPr>
              <w:t>本政策中角色</w:t>
            </w:r>
          </w:p>
        </w:tc>
        <w:tc>
          <w:tcPr>
            <w:tcW w:w="4906" w:type="dxa"/>
            <w:tcBorders>
              <w:top w:val="single" w:color="auto" w:sz="4" w:space="0"/>
              <w:left w:val="single" w:color="auto" w:sz="4" w:space="0"/>
              <w:bottom w:val="single" w:color="auto" w:sz="4" w:space="0"/>
              <w:right w:val="single" w:color="auto" w:sz="4" w:space="0"/>
              <w:tl2br w:val="nil"/>
              <w:tr2bl w:val="nil"/>
            </w:tcBorders>
            <w:shd w:val="clear" w:color="auto" w:fill="A6A6A6"/>
            <w:noWrap w:val="0"/>
            <w:vAlign w:val="center"/>
          </w:tcPr>
          <w:p>
            <w:pPr>
              <w:pageBreakBefore w:val="0"/>
              <w:widowControl/>
              <w:kinsoku/>
              <w:wordWrap/>
              <w:bidi w:val="0"/>
              <w:spacing w:line="570" w:lineRule="exact"/>
              <w:jc w:val="both"/>
              <w:rPr>
                <w:rFonts w:hint="default" w:ascii="Times New Roman" w:hAnsi="Times New Roman" w:eastAsia="仿宋_GB2312" w:cs="Times New Roman"/>
                <w:b/>
                <w:color w:val="auto"/>
                <w:kern w:val="0"/>
                <w:sz w:val="22"/>
                <w:highlight w:val="none"/>
              </w:rPr>
            </w:pPr>
            <w:r>
              <w:rPr>
                <w:rFonts w:hint="default" w:ascii="Times New Roman" w:hAnsi="Times New Roman" w:eastAsia="仿宋_GB2312" w:cs="Times New Roman"/>
                <w:b/>
                <w:color w:val="auto"/>
                <w:kern w:val="0"/>
                <w:sz w:val="22"/>
                <w:highlight w:val="none"/>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88"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1</w:t>
            </w:r>
          </w:p>
        </w:tc>
        <w:tc>
          <w:tcPr>
            <w:tcW w:w="1368"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tabs>
                <w:tab w:val="left" w:pos="1280"/>
              </w:tabs>
              <w:kinsoku/>
              <w:wordWrap/>
              <w:overflowPunct/>
              <w:topLinePunct/>
              <w:autoSpaceDE/>
              <w:autoSpaceDN/>
              <w:bidi w:val="0"/>
              <w:adjustRightInd w:val="0"/>
              <w:snapToGrid w:val="0"/>
              <w:spacing w:before="0" w:beforeLines="0" w:line="570" w:lineRule="exact"/>
              <w:ind w:firstLine="0" w:firstLineChars="0"/>
              <w:jc w:val="both"/>
              <w:textAlignment w:val="auto"/>
              <w:rPr>
                <w:rFonts w:hint="default" w:ascii="Times New Roman" w:hAnsi="Times New Roman" w:eastAsia="仿宋_GB2312" w:cs="Times New Roman"/>
                <w:color w:val="auto"/>
                <w:kern w:val="0"/>
                <w:sz w:val="22"/>
                <w:highlight w:val="none"/>
                <w:lang w:val="en-US" w:eastAsia="zh-CN"/>
              </w:rPr>
            </w:pPr>
            <w:r>
              <w:rPr>
                <w:rFonts w:hint="eastAsia" w:ascii="仿宋" w:hAnsi="仿宋" w:eastAsia="仿宋" w:cs="仿宋"/>
                <w:kern w:val="2"/>
                <w:sz w:val="20"/>
                <w:szCs w:val="20"/>
                <w:highlight w:val="none"/>
                <w:lang w:val="en-US" w:bidi="ar-SA"/>
              </w:rPr>
              <w:t>邹燕</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lang w:val="en-US" w:eastAsia="zh-CN"/>
              </w:rPr>
            </w:pPr>
            <w:r>
              <w:rPr>
                <w:rFonts w:hint="default" w:ascii="Times New Roman" w:hAnsi="Times New Roman" w:eastAsia="仿宋_GB2312" w:cs="Times New Roman"/>
                <w:color w:val="auto"/>
                <w:kern w:val="0"/>
                <w:sz w:val="22"/>
                <w:highlight w:val="none"/>
              </w:rPr>
              <w:t>项目</w:t>
            </w:r>
            <w:r>
              <w:rPr>
                <w:rFonts w:hint="default" w:ascii="Times New Roman" w:hAnsi="Times New Roman" w:eastAsia="仿宋_GB2312" w:cs="Times New Roman"/>
                <w:color w:val="auto"/>
                <w:kern w:val="0"/>
                <w:sz w:val="22"/>
                <w:highlight w:val="none"/>
                <w:lang w:val="en-US" w:eastAsia="zh-CN"/>
              </w:rPr>
              <w:t>主评人</w:t>
            </w:r>
          </w:p>
        </w:tc>
        <w:tc>
          <w:tcPr>
            <w:tcW w:w="4906"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负责绩效评价过程指导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88"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2</w:t>
            </w:r>
          </w:p>
        </w:tc>
        <w:tc>
          <w:tcPr>
            <w:tcW w:w="1368"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tabs>
                <w:tab w:val="left" w:pos="1280"/>
              </w:tabs>
              <w:kinsoku/>
              <w:wordWrap/>
              <w:overflowPunct/>
              <w:topLinePunct/>
              <w:autoSpaceDE/>
              <w:autoSpaceDN/>
              <w:bidi w:val="0"/>
              <w:adjustRightInd w:val="0"/>
              <w:snapToGrid w:val="0"/>
              <w:spacing w:before="0" w:beforeLines="0" w:line="570" w:lineRule="exact"/>
              <w:ind w:firstLine="0" w:firstLineChars="0"/>
              <w:jc w:val="both"/>
              <w:textAlignment w:val="auto"/>
              <w:rPr>
                <w:rFonts w:hint="default" w:ascii="Times New Roman" w:hAnsi="Times New Roman" w:eastAsia="仿宋_GB2312" w:cs="Times New Roman"/>
                <w:color w:val="auto"/>
                <w:kern w:val="0"/>
                <w:sz w:val="22"/>
                <w:highlight w:val="none"/>
                <w:lang w:eastAsia="zh-CN"/>
              </w:rPr>
            </w:pPr>
            <w:r>
              <w:rPr>
                <w:rFonts w:hint="eastAsia" w:ascii="仿宋" w:hAnsi="仿宋" w:eastAsia="仿宋" w:cs="仿宋"/>
                <w:kern w:val="2"/>
                <w:sz w:val="20"/>
                <w:szCs w:val="20"/>
                <w:highlight w:val="none"/>
                <w:lang w:val="en-US" w:bidi="ar-SA"/>
              </w:rPr>
              <w:t>李毅</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项目质控</w:t>
            </w:r>
          </w:p>
        </w:tc>
        <w:tc>
          <w:tcPr>
            <w:tcW w:w="4906"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负责项目评价方案、项目报告等重点工作内容的质量控制，技术指导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888"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3</w:t>
            </w:r>
          </w:p>
        </w:tc>
        <w:tc>
          <w:tcPr>
            <w:tcW w:w="1368"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tabs>
                <w:tab w:val="left" w:pos="1280"/>
              </w:tabs>
              <w:kinsoku/>
              <w:wordWrap/>
              <w:overflowPunct/>
              <w:topLinePunct/>
              <w:autoSpaceDE/>
              <w:autoSpaceDN/>
              <w:bidi w:val="0"/>
              <w:adjustRightInd w:val="0"/>
              <w:snapToGrid w:val="0"/>
              <w:spacing w:before="0" w:beforeLines="0" w:line="570" w:lineRule="exact"/>
              <w:ind w:firstLine="0" w:firstLineChars="0"/>
              <w:jc w:val="both"/>
              <w:textAlignment w:val="auto"/>
              <w:rPr>
                <w:rFonts w:hint="eastAsia" w:ascii="Times New Roman" w:hAnsi="Times New Roman" w:eastAsia="仿宋_GB2312" w:cs="Times New Roman"/>
                <w:color w:val="auto"/>
                <w:kern w:val="0"/>
                <w:sz w:val="22"/>
                <w:highlight w:val="none"/>
                <w:lang w:val="en-US" w:eastAsia="zh-CN"/>
              </w:rPr>
            </w:pPr>
            <w:r>
              <w:rPr>
                <w:rFonts w:hint="eastAsia" w:ascii="Times New Roman" w:hAnsi="Times New Roman" w:eastAsia="仿宋_GB2312" w:cs="Times New Roman"/>
                <w:color w:val="auto"/>
                <w:kern w:val="0"/>
                <w:sz w:val="22"/>
                <w:highlight w:val="none"/>
                <w:lang w:val="en-US" w:eastAsia="zh-CN"/>
              </w:rPr>
              <w:t>祖丽皮努尔</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项目经理</w:t>
            </w:r>
          </w:p>
        </w:tc>
        <w:tc>
          <w:tcPr>
            <w:tcW w:w="4906"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负责对项目实施统筹、资料收集，整理及数据分析、撰写工作方案及评价报告并对评价报告进行负责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88"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4</w:t>
            </w:r>
          </w:p>
        </w:tc>
        <w:tc>
          <w:tcPr>
            <w:tcW w:w="1368"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tabs>
                <w:tab w:val="left" w:pos="1280"/>
              </w:tabs>
              <w:kinsoku/>
              <w:wordWrap/>
              <w:overflowPunct/>
              <w:topLinePunct/>
              <w:autoSpaceDE/>
              <w:autoSpaceDN/>
              <w:bidi w:val="0"/>
              <w:adjustRightInd w:val="0"/>
              <w:snapToGrid w:val="0"/>
              <w:spacing w:before="0" w:beforeLines="0" w:line="570" w:lineRule="exact"/>
              <w:ind w:firstLine="0" w:firstLineChars="0"/>
              <w:jc w:val="both"/>
              <w:textAlignment w:val="auto"/>
              <w:rPr>
                <w:rFonts w:hint="default" w:ascii="Times New Roman" w:hAnsi="Times New Roman" w:eastAsia="仿宋_GB2312" w:cs="Times New Roman"/>
                <w:color w:val="auto"/>
                <w:kern w:val="0"/>
                <w:sz w:val="22"/>
                <w:highlight w:val="none"/>
                <w:lang w:eastAsia="zh-CN"/>
              </w:rPr>
            </w:pPr>
            <w:r>
              <w:rPr>
                <w:rFonts w:hint="eastAsia" w:ascii="Times New Roman" w:hAnsi="Times New Roman" w:eastAsia="仿宋_GB2312" w:cs="Times New Roman"/>
                <w:color w:val="auto"/>
                <w:kern w:val="0"/>
                <w:sz w:val="22"/>
                <w:highlight w:val="none"/>
                <w:lang w:eastAsia="zh-CN"/>
              </w:rPr>
              <w:t>阿米娜</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项目助理</w:t>
            </w:r>
          </w:p>
        </w:tc>
        <w:tc>
          <w:tcPr>
            <w:tcW w:w="4906"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负责资料搜集、整理及数据分析等，并协助撰写工作方案及评价报告等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8"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5</w:t>
            </w:r>
          </w:p>
        </w:tc>
        <w:tc>
          <w:tcPr>
            <w:tcW w:w="1368"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napToGrid/>
              <w:spacing w:before="0" w:beforeAutospacing="0" w:after="0" w:afterAutospacing="0" w:line="570" w:lineRule="exact"/>
              <w:jc w:val="both"/>
              <w:textAlignment w:val="baseline"/>
              <w:rPr>
                <w:rFonts w:hint="default" w:ascii="Times New Roman" w:hAnsi="Times New Roman" w:eastAsia="仿宋_GB2312" w:cs="Times New Roman"/>
                <w:color w:val="auto"/>
                <w:kern w:val="0"/>
                <w:sz w:val="22"/>
                <w:highlight w:val="none"/>
              </w:rPr>
            </w:pPr>
            <w:r>
              <w:rPr>
                <w:rFonts w:hint="eastAsia" w:ascii="Times New Roman" w:hAnsi="Times New Roman" w:eastAsia="仿宋_GB2312" w:cs="Times New Roman"/>
                <w:b w:val="0"/>
                <w:bCs w:val="0"/>
                <w:i w:val="0"/>
                <w:caps w:val="0"/>
                <w:color w:val="000000"/>
                <w:spacing w:val="0"/>
                <w:w w:val="100"/>
                <w:kern w:val="0"/>
                <w:sz w:val="22"/>
                <w:szCs w:val="24"/>
                <w:highlight w:val="none"/>
                <w:lang w:val="en-US" w:eastAsia="zh-CN" w:bidi="ar-SA"/>
              </w:rPr>
              <w:t>麦迪努尔</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项目助理</w:t>
            </w:r>
          </w:p>
        </w:tc>
        <w:tc>
          <w:tcPr>
            <w:tcW w:w="4906"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负责资料搜集、整理及数据分析等，并协助撰写工作方案及评价报告等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888"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6</w:t>
            </w:r>
          </w:p>
        </w:tc>
        <w:tc>
          <w:tcPr>
            <w:tcW w:w="1368"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napToGrid/>
              <w:spacing w:before="0" w:beforeAutospacing="0" w:after="0" w:afterAutospacing="0" w:line="570" w:lineRule="exact"/>
              <w:jc w:val="both"/>
              <w:textAlignment w:val="baseline"/>
              <w:rPr>
                <w:rFonts w:hint="default" w:ascii="Times New Roman" w:hAnsi="Times New Roman" w:eastAsia="仿宋_GB2312" w:cs="Times New Roman"/>
                <w:color w:val="auto"/>
                <w:kern w:val="0"/>
                <w:sz w:val="22"/>
                <w:highlight w:val="none"/>
                <w:lang w:val="en-US" w:eastAsia="zh-CN"/>
              </w:rPr>
            </w:pPr>
            <w:r>
              <w:rPr>
                <w:rFonts w:hint="eastAsia" w:ascii="Times New Roman" w:hAnsi="Times New Roman" w:eastAsia="仿宋_GB2312" w:cs="Times New Roman"/>
                <w:b w:val="0"/>
                <w:bCs w:val="0"/>
                <w:i w:val="0"/>
                <w:caps w:val="0"/>
                <w:color w:val="000000"/>
                <w:spacing w:val="0"/>
                <w:w w:val="100"/>
                <w:kern w:val="0"/>
                <w:sz w:val="22"/>
                <w:szCs w:val="24"/>
                <w:highlight w:val="none"/>
                <w:lang w:val="en-US" w:eastAsia="zh-CN" w:bidi="ar-SA"/>
              </w:rPr>
              <w:t>武莹</w:t>
            </w:r>
          </w:p>
        </w:tc>
        <w:tc>
          <w:tcPr>
            <w:tcW w:w="1357"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项目助理</w:t>
            </w:r>
          </w:p>
        </w:tc>
        <w:tc>
          <w:tcPr>
            <w:tcW w:w="4906" w:type="dxa"/>
            <w:tcBorders>
              <w:top w:val="single" w:color="auto" w:sz="4" w:space="0"/>
              <w:left w:val="single" w:color="auto" w:sz="4" w:space="0"/>
              <w:bottom w:val="single" w:color="auto" w:sz="4" w:space="0"/>
              <w:right w:val="single" w:color="auto" w:sz="4" w:space="0"/>
              <w:tl2br w:val="nil"/>
              <w:tr2bl w:val="nil"/>
            </w:tcBorders>
            <w:noWrap w:val="0"/>
            <w:vAlign w:val="center"/>
          </w:tcPr>
          <w:p>
            <w:pPr>
              <w:pageBreakBefore w:val="0"/>
              <w:widowControl/>
              <w:kinsoku/>
              <w:wordWrap/>
              <w:bidi w:val="0"/>
              <w:spacing w:line="570" w:lineRule="exact"/>
              <w:jc w:val="both"/>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配合公司人员完成社会调研工作</w:t>
            </w:r>
          </w:p>
        </w:tc>
      </w:tr>
    </w:tbl>
    <w:p>
      <w:pPr>
        <w:pStyle w:val="31"/>
        <w:keepNext w:val="0"/>
        <w:keepLines w:val="0"/>
        <w:pageBreakBefore w:val="0"/>
        <w:widowControl/>
        <w:kinsoku/>
        <w:wordWrap/>
        <w:topLinePunct w:val="0"/>
        <w:bidi w:val="0"/>
        <w:snapToGrid/>
        <w:spacing w:line="570" w:lineRule="exact"/>
        <w:ind w:left="0" w:leftChars="0" w:firstLine="667" w:firstLineChars="200"/>
        <w:jc w:val="both"/>
        <w:rPr>
          <w:rFonts w:hint="default" w:ascii="方正仿宋_GBK" w:hAnsi="方正仿宋_GBK" w:eastAsia="方正仿宋_GBK" w:cs="方正仿宋_GBK"/>
          <w:b/>
          <w:bCs/>
          <w:color w:val="auto"/>
          <w:spacing w:val="6"/>
          <w:kern w:val="0"/>
          <w:sz w:val="32"/>
          <w:szCs w:val="32"/>
          <w:highlight w:val="none"/>
          <w:lang w:val="en-US" w:eastAsia="zh-Hans" w:bidi="ar"/>
        </w:rPr>
      </w:pPr>
      <w:bookmarkStart w:id="87" w:name="_Toc6988"/>
      <w:bookmarkStart w:id="88" w:name="_Toc26606"/>
      <w:bookmarkStart w:id="89" w:name="_Toc11520"/>
      <w:bookmarkStart w:id="90" w:name="_Toc2515"/>
      <w:bookmarkStart w:id="91" w:name="_Toc29947"/>
      <w:bookmarkStart w:id="92" w:name="_Toc30721"/>
      <w:bookmarkStart w:id="93" w:name="_Toc6895"/>
      <w:bookmarkStart w:id="94" w:name="_Toc6609"/>
      <w:bookmarkStart w:id="95" w:name="_Toc18993"/>
      <w:r>
        <w:rPr>
          <w:rFonts w:hint="default" w:ascii="方正仿宋_GBK" w:hAnsi="方正仿宋_GBK" w:eastAsia="方正仿宋_GBK" w:cs="方正仿宋_GBK"/>
          <w:b/>
          <w:bCs/>
          <w:color w:val="auto"/>
          <w:spacing w:val="6"/>
          <w:kern w:val="0"/>
          <w:sz w:val="32"/>
          <w:szCs w:val="32"/>
          <w:highlight w:val="none"/>
          <w:lang w:val="en-US" w:eastAsia="zh-CN" w:bidi="ar"/>
        </w:rPr>
        <w:t>2.</w:t>
      </w:r>
      <w:r>
        <w:rPr>
          <w:rFonts w:hint="default" w:ascii="方正仿宋_GBK" w:hAnsi="方正仿宋_GBK" w:eastAsia="方正仿宋_GBK" w:cs="方正仿宋_GBK"/>
          <w:b/>
          <w:bCs/>
          <w:color w:val="auto"/>
          <w:spacing w:val="6"/>
          <w:kern w:val="0"/>
          <w:sz w:val="32"/>
          <w:szCs w:val="32"/>
          <w:highlight w:val="none"/>
          <w:lang w:val="en-US" w:eastAsia="zh-Hans" w:bidi="ar"/>
        </w:rPr>
        <w:t>评价进度</w:t>
      </w:r>
      <w:bookmarkEnd w:id="87"/>
      <w:bookmarkEnd w:id="88"/>
      <w:bookmarkEnd w:id="89"/>
      <w:bookmarkEnd w:id="90"/>
      <w:bookmarkEnd w:id="91"/>
      <w:bookmarkEnd w:id="92"/>
      <w:bookmarkEnd w:id="93"/>
      <w:bookmarkEnd w:id="94"/>
      <w:bookmarkEnd w:id="95"/>
    </w:p>
    <w:p>
      <w:pPr>
        <w:pStyle w:val="31"/>
        <w:keepNext w:val="0"/>
        <w:keepLines w:val="0"/>
        <w:pageBreakBefore w:val="0"/>
        <w:widowControl/>
        <w:kinsoku/>
        <w:wordWrap/>
        <w:topLinePunct w:val="0"/>
        <w:bidi w:val="0"/>
        <w:snapToGrid/>
        <w:spacing w:line="570" w:lineRule="exact"/>
        <w:ind w:firstLine="664" w:firstLineChars="200"/>
        <w:jc w:val="both"/>
        <w:rPr>
          <w:rFonts w:hint="default" w:ascii="方正仿宋_GBK" w:hAnsi="方正仿宋_GBK" w:eastAsia="方正仿宋_GBK" w:cs="方正仿宋_GBK"/>
          <w:color w:val="auto"/>
          <w:spacing w:val="6"/>
          <w:kern w:val="0"/>
          <w:sz w:val="32"/>
          <w:szCs w:val="32"/>
          <w:highlight w:val="none"/>
          <w:lang w:val="en-US" w:eastAsia="zh-CN" w:bidi="ar"/>
        </w:rPr>
      </w:pPr>
      <w:r>
        <w:rPr>
          <w:rFonts w:hint="default" w:ascii="方正仿宋_GBK" w:hAnsi="方正仿宋_GBK" w:eastAsia="方正仿宋_GBK" w:cs="方正仿宋_GBK"/>
          <w:color w:val="auto"/>
          <w:spacing w:val="6"/>
          <w:kern w:val="0"/>
          <w:sz w:val="32"/>
          <w:szCs w:val="32"/>
          <w:highlight w:val="none"/>
          <w:lang w:val="en-US" w:eastAsia="zh-CN" w:bidi="ar"/>
        </w:rPr>
        <w:t>本次项目的评价期间为20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4</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6</w:t>
      </w:r>
      <w:r>
        <w:rPr>
          <w:rFonts w:hint="default" w:ascii="方正仿宋_GBK" w:hAnsi="方正仿宋_GBK" w:eastAsia="方正仿宋_GBK" w:cs="方正仿宋_GBK"/>
          <w:color w:val="auto"/>
          <w:spacing w:val="6"/>
          <w:kern w:val="0"/>
          <w:sz w:val="32"/>
          <w:szCs w:val="32"/>
          <w:highlight w:val="none"/>
          <w:lang w:val="en-US" w:eastAsia="zh-CN" w:bidi="ar"/>
        </w:rPr>
        <w:t>日至20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6</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10</w:t>
      </w:r>
      <w:r>
        <w:rPr>
          <w:rFonts w:hint="default" w:ascii="方正仿宋_GBK" w:hAnsi="方正仿宋_GBK" w:eastAsia="方正仿宋_GBK" w:cs="方正仿宋_GBK"/>
          <w:color w:val="auto"/>
          <w:spacing w:val="6"/>
          <w:kern w:val="0"/>
          <w:sz w:val="32"/>
          <w:szCs w:val="32"/>
          <w:highlight w:val="none"/>
          <w:lang w:val="en-US" w:eastAsia="zh-CN" w:bidi="ar"/>
        </w:rPr>
        <w:t>日，具体安排如下：</w:t>
      </w:r>
    </w:p>
    <w:p>
      <w:pPr>
        <w:pStyle w:val="31"/>
        <w:keepNext w:val="0"/>
        <w:keepLines w:val="0"/>
        <w:pageBreakBefore w:val="0"/>
        <w:widowControl/>
        <w:kinsoku/>
        <w:wordWrap/>
        <w:topLinePunct w:val="0"/>
        <w:bidi w:val="0"/>
        <w:snapToGrid/>
        <w:spacing w:line="570" w:lineRule="exact"/>
        <w:ind w:firstLine="664" w:firstLineChars="200"/>
        <w:jc w:val="both"/>
        <w:rPr>
          <w:rFonts w:hint="default" w:ascii="方正仿宋_GBK" w:hAnsi="方正仿宋_GBK" w:eastAsia="方正仿宋_GBK" w:cs="方正仿宋_GBK"/>
          <w:color w:val="auto"/>
          <w:spacing w:val="6"/>
          <w:kern w:val="0"/>
          <w:sz w:val="32"/>
          <w:szCs w:val="32"/>
          <w:highlight w:val="none"/>
          <w:lang w:val="en-US" w:eastAsia="zh-CN" w:bidi="ar"/>
        </w:rPr>
      </w:pPr>
      <w:r>
        <w:rPr>
          <w:rFonts w:hint="default" w:ascii="方正仿宋_GBK" w:hAnsi="方正仿宋_GBK" w:eastAsia="方正仿宋_GBK" w:cs="方正仿宋_GBK"/>
          <w:color w:val="auto"/>
          <w:spacing w:val="6"/>
          <w:kern w:val="0"/>
          <w:sz w:val="32"/>
          <w:szCs w:val="32"/>
          <w:highlight w:val="none"/>
          <w:lang w:val="en-US" w:eastAsia="zh-CN" w:bidi="ar"/>
        </w:rPr>
        <w:t>（1）方案制定——20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4</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6</w:t>
      </w:r>
      <w:r>
        <w:rPr>
          <w:rFonts w:hint="default" w:ascii="方正仿宋_GBK" w:hAnsi="方正仿宋_GBK" w:eastAsia="方正仿宋_GBK" w:cs="方正仿宋_GBK"/>
          <w:color w:val="auto"/>
          <w:spacing w:val="6"/>
          <w:kern w:val="0"/>
          <w:sz w:val="32"/>
          <w:szCs w:val="32"/>
          <w:highlight w:val="none"/>
          <w:lang w:val="en-US" w:eastAsia="zh-CN" w:bidi="ar"/>
        </w:rPr>
        <w:t>日前</w:t>
      </w:r>
    </w:p>
    <w:p>
      <w:pPr>
        <w:pStyle w:val="31"/>
        <w:keepNext w:val="0"/>
        <w:keepLines w:val="0"/>
        <w:pageBreakBefore w:val="0"/>
        <w:widowControl/>
        <w:kinsoku/>
        <w:wordWrap/>
        <w:topLinePunct w:val="0"/>
        <w:bidi w:val="0"/>
        <w:snapToGrid/>
        <w:spacing w:line="570" w:lineRule="exact"/>
        <w:ind w:firstLine="640" w:firstLineChars="200"/>
        <w:jc w:val="both"/>
        <w:rPr>
          <w:rFonts w:hint="eastAsia" w:ascii="方正仿宋_GBK" w:hAnsi="方正仿宋_GBK" w:eastAsia="方正仿宋_GBK" w:cs="方正仿宋_GBK"/>
          <w:color w:val="auto"/>
          <w:sz w:val="32"/>
          <w:szCs w:val="32"/>
          <w:highlight w:val="none"/>
          <w:lang w:bidi="ar"/>
        </w:rPr>
      </w:pPr>
      <w:r>
        <w:rPr>
          <w:rFonts w:hint="eastAsia" w:ascii="方正仿宋_GBK" w:hAnsi="方正仿宋_GBK" w:eastAsia="方正仿宋_GBK" w:cs="方正仿宋_GBK"/>
          <w:color w:val="auto"/>
          <w:sz w:val="32"/>
          <w:szCs w:val="32"/>
          <w:highlight w:val="none"/>
          <w:lang w:eastAsia="zh-CN" w:bidi="ar"/>
        </w:rPr>
        <w:t>本单位</w:t>
      </w:r>
      <w:r>
        <w:rPr>
          <w:rFonts w:hint="eastAsia" w:ascii="方正仿宋_GBK" w:hAnsi="方正仿宋_GBK" w:eastAsia="方正仿宋_GBK" w:cs="方正仿宋_GBK"/>
          <w:color w:val="auto"/>
          <w:sz w:val="32"/>
          <w:szCs w:val="32"/>
          <w:highlight w:val="none"/>
          <w:lang w:bidi="ar"/>
        </w:rPr>
        <w:t>根据项目的基本情况，按照财政预算绩效评价工作要求，拟订评价实施方案，并报委托方审核。实施方案应包括人员配置、时间安排、评价依据、评价方法、评价指标体系、实施步骤及工作纪律等内容。</w:t>
      </w:r>
    </w:p>
    <w:p>
      <w:pPr>
        <w:pStyle w:val="31"/>
        <w:keepNext w:val="0"/>
        <w:keepLines w:val="0"/>
        <w:pageBreakBefore w:val="0"/>
        <w:widowControl/>
        <w:kinsoku/>
        <w:wordWrap/>
        <w:topLinePunct w:val="0"/>
        <w:bidi w:val="0"/>
        <w:snapToGrid/>
        <w:spacing w:line="570" w:lineRule="exact"/>
        <w:ind w:firstLine="664" w:firstLineChars="200"/>
        <w:jc w:val="both"/>
        <w:rPr>
          <w:rFonts w:hint="default" w:ascii="方正仿宋_GBK" w:hAnsi="方正仿宋_GBK" w:eastAsia="方正仿宋_GBK" w:cs="方正仿宋_GBK"/>
          <w:color w:val="auto"/>
          <w:spacing w:val="6"/>
          <w:kern w:val="0"/>
          <w:sz w:val="32"/>
          <w:szCs w:val="32"/>
          <w:highlight w:val="none"/>
          <w:lang w:val="en-US" w:eastAsia="zh-CN" w:bidi="ar"/>
        </w:rPr>
      </w:pPr>
      <w:r>
        <w:rPr>
          <w:rFonts w:hint="default" w:ascii="方正仿宋_GBK" w:hAnsi="方正仿宋_GBK" w:eastAsia="方正仿宋_GBK" w:cs="方正仿宋_GBK"/>
          <w:color w:val="auto"/>
          <w:spacing w:val="6"/>
          <w:kern w:val="0"/>
          <w:sz w:val="32"/>
          <w:szCs w:val="32"/>
          <w:highlight w:val="none"/>
          <w:lang w:val="en-US" w:eastAsia="zh-CN" w:bidi="ar"/>
        </w:rPr>
        <w:t>（2）评价实施阶段——20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5</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20</w:t>
      </w:r>
      <w:r>
        <w:rPr>
          <w:rFonts w:hint="default" w:ascii="方正仿宋_GBK" w:hAnsi="方正仿宋_GBK" w:eastAsia="方正仿宋_GBK" w:cs="方正仿宋_GBK"/>
          <w:color w:val="auto"/>
          <w:spacing w:val="6"/>
          <w:kern w:val="0"/>
          <w:sz w:val="32"/>
          <w:szCs w:val="32"/>
          <w:highlight w:val="none"/>
          <w:lang w:val="en-US" w:eastAsia="zh-CN" w:bidi="ar"/>
        </w:rPr>
        <w:t>日前</w:t>
      </w:r>
    </w:p>
    <w:p>
      <w:pPr>
        <w:pStyle w:val="31"/>
        <w:keepNext w:val="0"/>
        <w:keepLines w:val="0"/>
        <w:pageBreakBefore w:val="0"/>
        <w:widowControl/>
        <w:kinsoku/>
        <w:wordWrap/>
        <w:topLinePunct w:val="0"/>
        <w:bidi w:val="0"/>
        <w:snapToGrid/>
        <w:spacing w:line="570" w:lineRule="exact"/>
        <w:ind w:firstLine="664" w:firstLineChars="200"/>
        <w:jc w:val="both"/>
        <w:rPr>
          <w:rFonts w:hint="default" w:ascii="方正仿宋_GBK" w:hAnsi="方正仿宋_GBK" w:eastAsia="方正仿宋_GBK" w:cs="方正仿宋_GBK"/>
          <w:color w:val="auto"/>
          <w:spacing w:val="6"/>
          <w:kern w:val="0"/>
          <w:sz w:val="32"/>
          <w:szCs w:val="32"/>
          <w:highlight w:val="none"/>
          <w:lang w:val="en-US" w:eastAsia="zh-CN" w:bidi="ar"/>
        </w:rPr>
      </w:pPr>
      <w:r>
        <w:rPr>
          <w:rFonts w:hint="default" w:ascii="方正仿宋_GBK" w:hAnsi="方正仿宋_GBK" w:eastAsia="方正仿宋_GBK" w:cs="方正仿宋_GBK"/>
          <w:color w:val="auto"/>
          <w:spacing w:val="6"/>
          <w:kern w:val="0"/>
          <w:sz w:val="32"/>
          <w:szCs w:val="32"/>
          <w:highlight w:val="none"/>
          <w:lang w:val="en-US" w:eastAsia="zh-CN" w:bidi="ar"/>
        </w:rPr>
        <w:t>数据采集（20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4</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15</w:t>
      </w:r>
      <w:r>
        <w:rPr>
          <w:rFonts w:hint="default" w:ascii="方正仿宋_GBK" w:hAnsi="方正仿宋_GBK" w:eastAsia="方正仿宋_GBK" w:cs="方正仿宋_GBK"/>
          <w:color w:val="auto"/>
          <w:spacing w:val="6"/>
          <w:kern w:val="0"/>
          <w:sz w:val="32"/>
          <w:szCs w:val="32"/>
          <w:highlight w:val="none"/>
          <w:lang w:val="en-US" w:eastAsia="zh-CN" w:bidi="ar"/>
        </w:rPr>
        <w:t>日前）。</w:t>
      </w:r>
      <w:r>
        <w:rPr>
          <w:rFonts w:hint="eastAsia" w:ascii="方正仿宋_GBK" w:hAnsi="方正仿宋_GBK" w:eastAsia="方正仿宋_GBK" w:cs="方正仿宋_GBK"/>
          <w:color w:val="auto"/>
          <w:sz w:val="32"/>
          <w:szCs w:val="32"/>
          <w:highlight w:val="none"/>
          <w:lang w:bidi="ar"/>
        </w:rPr>
        <w:t>全面收集项目相关资料和基础数据，完成绩效评价内容和评价指标体系的评价印证资料。整理该项目主要采用查阅相关文件政策、会计凭证等资料，采集项目资金支出情况、项目完成情况及项目成本构成等数据资料；并通过访谈、社会调查掌握具体情况，对采集的数据做详细的分析和统计。</w:t>
      </w:r>
    </w:p>
    <w:p>
      <w:pPr>
        <w:pStyle w:val="31"/>
        <w:keepNext w:val="0"/>
        <w:keepLines w:val="0"/>
        <w:pageBreakBefore w:val="0"/>
        <w:widowControl/>
        <w:kinsoku/>
        <w:wordWrap/>
        <w:topLinePunct w:val="0"/>
        <w:bidi w:val="0"/>
        <w:snapToGrid/>
        <w:spacing w:line="570" w:lineRule="exact"/>
        <w:ind w:firstLine="664" w:firstLineChars="200"/>
        <w:jc w:val="both"/>
        <w:rPr>
          <w:rFonts w:hint="default" w:ascii="方正仿宋_GBK" w:hAnsi="方正仿宋_GBK" w:eastAsia="方正仿宋_GBK" w:cs="方正仿宋_GBK"/>
          <w:color w:val="auto"/>
          <w:spacing w:val="6"/>
          <w:kern w:val="0"/>
          <w:sz w:val="32"/>
          <w:szCs w:val="32"/>
          <w:highlight w:val="none"/>
          <w:lang w:val="en-US" w:eastAsia="zh-CN" w:bidi="ar"/>
        </w:rPr>
      </w:pPr>
      <w:r>
        <w:rPr>
          <w:rFonts w:hint="default" w:ascii="方正仿宋_GBK" w:hAnsi="方正仿宋_GBK" w:eastAsia="方正仿宋_GBK" w:cs="方正仿宋_GBK"/>
          <w:color w:val="auto"/>
          <w:spacing w:val="6"/>
          <w:kern w:val="0"/>
          <w:sz w:val="32"/>
          <w:szCs w:val="32"/>
          <w:highlight w:val="none"/>
          <w:lang w:val="en-US" w:eastAsia="zh-CN" w:bidi="ar"/>
        </w:rPr>
        <w:t>实地调研（20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5</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20</w:t>
      </w:r>
      <w:r>
        <w:rPr>
          <w:rFonts w:hint="default" w:ascii="方正仿宋_GBK" w:hAnsi="方正仿宋_GBK" w:eastAsia="方正仿宋_GBK" w:cs="方正仿宋_GBK"/>
          <w:color w:val="auto"/>
          <w:spacing w:val="6"/>
          <w:kern w:val="0"/>
          <w:sz w:val="32"/>
          <w:szCs w:val="32"/>
          <w:highlight w:val="none"/>
          <w:lang w:val="en-US" w:eastAsia="zh-CN" w:bidi="ar"/>
        </w:rPr>
        <w:t>日前）。根据方案，对预算单位，相关</w:t>
      </w:r>
      <w:r>
        <w:rPr>
          <w:rFonts w:hint="default" w:ascii="方正仿宋_GBK" w:hAnsi="方正仿宋_GBK" w:eastAsia="方正仿宋_GBK" w:cs="方正仿宋_GBK"/>
          <w:color w:val="auto"/>
          <w:spacing w:val="6"/>
          <w:kern w:val="0"/>
          <w:sz w:val="32"/>
          <w:szCs w:val="32"/>
          <w:highlight w:val="none"/>
          <w:lang w:val="en-US" w:eastAsia="zh-Hans" w:bidi="ar"/>
        </w:rPr>
        <w:t>负责人</w:t>
      </w:r>
      <w:r>
        <w:rPr>
          <w:rFonts w:hint="default" w:ascii="方正仿宋_GBK" w:hAnsi="方正仿宋_GBK" w:eastAsia="方正仿宋_GBK" w:cs="方正仿宋_GBK"/>
          <w:color w:val="auto"/>
          <w:spacing w:val="6"/>
          <w:kern w:val="0"/>
          <w:sz w:val="32"/>
          <w:szCs w:val="32"/>
          <w:highlight w:val="none"/>
          <w:lang w:val="en-US" w:eastAsia="zh-CN" w:bidi="ar"/>
        </w:rPr>
        <w:t>进行访谈，并对其填报的数据进行复核。同时，对受益对象进行满意度问卷调查</w:t>
      </w:r>
      <w:r>
        <w:rPr>
          <w:rFonts w:hint="eastAsia" w:ascii="方正仿宋_GBK" w:hAnsi="方正仿宋_GBK" w:eastAsia="方正仿宋_GBK" w:cs="方正仿宋_GBK"/>
          <w:color w:val="auto"/>
          <w:spacing w:val="6"/>
          <w:kern w:val="0"/>
          <w:sz w:val="32"/>
          <w:szCs w:val="32"/>
          <w:highlight w:val="none"/>
          <w:lang w:val="en-US" w:eastAsia="zh-CN" w:bidi="ar"/>
        </w:rPr>
        <w:t>，</w:t>
      </w:r>
      <w:r>
        <w:rPr>
          <w:rFonts w:hint="eastAsia" w:ascii="方正仿宋_GBK" w:hAnsi="方正仿宋_GBK" w:eastAsia="方正仿宋_GBK" w:cs="方正仿宋_GBK"/>
          <w:color w:val="auto"/>
          <w:sz w:val="32"/>
          <w:szCs w:val="32"/>
          <w:highlight w:val="none"/>
          <w:lang w:eastAsia="zh-CN" w:bidi="ar"/>
        </w:rPr>
        <w:t>项目共发放问卷调查</w:t>
      </w:r>
      <w:r>
        <w:rPr>
          <w:rFonts w:hint="eastAsia" w:ascii="方正仿宋_GBK" w:hAnsi="方正仿宋_GBK" w:eastAsia="方正仿宋_GBK" w:cs="方正仿宋_GBK"/>
          <w:color w:val="auto"/>
          <w:sz w:val="32"/>
          <w:szCs w:val="32"/>
          <w:highlight w:val="none"/>
          <w:lang w:val="en-US" w:eastAsia="zh-CN" w:bidi="ar"/>
        </w:rPr>
        <w:t>223</w:t>
      </w:r>
      <w:r>
        <w:rPr>
          <w:rFonts w:hint="eastAsia" w:ascii="方正仿宋_GBK" w:hAnsi="方正仿宋_GBK" w:eastAsia="方正仿宋_GBK" w:cs="方正仿宋_GBK"/>
          <w:color w:val="auto"/>
          <w:sz w:val="32"/>
          <w:szCs w:val="32"/>
          <w:highlight w:val="none"/>
          <w:lang w:eastAsia="zh-CN" w:bidi="ar"/>
        </w:rPr>
        <w:t>份，最终收回</w:t>
      </w:r>
      <w:r>
        <w:rPr>
          <w:rFonts w:hint="eastAsia" w:ascii="方正仿宋_GBK" w:hAnsi="方正仿宋_GBK" w:eastAsia="方正仿宋_GBK" w:cs="方正仿宋_GBK"/>
          <w:color w:val="auto"/>
          <w:sz w:val="32"/>
          <w:szCs w:val="32"/>
          <w:highlight w:val="none"/>
          <w:lang w:val="en-US" w:eastAsia="zh-CN" w:bidi="ar"/>
        </w:rPr>
        <w:t>223</w:t>
      </w:r>
      <w:r>
        <w:rPr>
          <w:rFonts w:hint="eastAsia" w:ascii="方正仿宋_GBK" w:hAnsi="方正仿宋_GBK" w:eastAsia="方正仿宋_GBK" w:cs="方正仿宋_GBK"/>
          <w:color w:val="auto"/>
          <w:sz w:val="32"/>
          <w:szCs w:val="32"/>
          <w:highlight w:val="none"/>
          <w:lang w:eastAsia="zh-CN" w:bidi="ar"/>
        </w:rPr>
        <w:t>份</w:t>
      </w:r>
      <w:r>
        <w:rPr>
          <w:rFonts w:hint="default" w:ascii="方正仿宋_GBK" w:hAnsi="方正仿宋_GBK" w:eastAsia="方正仿宋_GBK" w:cs="方正仿宋_GBK"/>
          <w:color w:val="auto"/>
          <w:spacing w:val="6"/>
          <w:kern w:val="0"/>
          <w:sz w:val="32"/>
          <w:szCs w:val="32"/>
          <w:highlight w:val="none"/>
          <w:lang w:val="en-US" w:eastAsia="zh-CN" w:bidi="ar"/>
        </w:rPr>
        <w:t>。调研结束后，</w:t>
      </w:r>
      <w:r>
        <w:rPr>
          <w:rFonts w:hint="eastAsia" w:ascii="方正仿宋_GBK" w:hAnsi="方正仿宋_GBK" w:eastAsia="方正仿宋_GBK" w:cs="方正仿宋_GBK"/>
          <w:color w:val="auto"/>
          <w:sz w:val="32"/>
          <w:szCs w:val="32"/>
          <w:highlight w:val="none"/>
          <w:lang w:bidi="ar"/>
        </w:rPr>
        <w:t>项目绩效评价小组对采集的数据资料进行复核汇总、分类整理和综合分析。按照设立的评价指标、标准、权重、方法实施评价，并形成评价结论。</w:t>
      </w:r>
    </w:p>
    <w:p>
      <w:pPr>
        <w:keepNext w:val="0"/>
        <w:keepLines w:val="0"/>
        <w:pageBreakBefore w:val="0"/>
        <w:widowControl/>
        <w:kinsoku/>
        <w:wordWrap/>
        <w:topLinePunct w:val="0"/>
        <w:bidi w:val="0"/>
        <w:snapToGrid/>
        <w:spacing w:line="570" w:lineRule="exact"/>
        <w:ind w:firstLine="664" w:firstLineChars="200"/>
        <w:jc w:val="both"/>
        <w:rPr>
          <w:rFonts w:hint="eastAsia" w:ascii="方正仿宋_GBK" w:hAnsi="方正仿宋_GBK" w:eastAsia="方正仿宋_GBK" w:cs="方正仿宋_GBK"/>
          <w:color w:val="auto"/>
          <w:kern w:val="0"/>
          <w:sz w:val="32"/>
          <w:szCs w:val="32"/>
          <w:highlight w:val="none"/>
          <w:lang w:bidi="ar"/>
        </w:rPr>
      </w:pPr>
      <w:r>
        <w:rPr>
          <w:rFonts w:hint="default" w:ascii="方正仿宋_GBK" w:hAnsi="方正仿宋_GBK" w:eastAsia="方正仿宋_GBK" w:cs="方正仿宋_GBK"/>
          <w:color w:val="auto"/>
          <w:spacing w:val="6"/>
          <w:kern w:val="0"/>
          <w:sz w:val="32"/>
          <w:szCs w:val="32"/>
          <w:highlight w:val="none"/>
          <w:lang w:val="en-US" w:eastAsia="zh-CN" w:bidi="ar"/>
        </w:rPr>
        <w:t>（</w:t>
      </w:r>
      <w:r>
        <w:rPr>
          <w:rFonts w:hint="eastAsia" w:ascii="方正仿宋_GBK" w:hAnsi="方正仿宋_GBK" w:eastAsia="方正仿宋_GBK" w:cs="方正仿宋_GBK"/>
          <w:color w:val="auto"/>
          <w:kern w:val="0"/>
          <w:sz w:val="32"/>
          <w:szCs w:val="32"/>
          <w:highlight w:val="none"/>
          <w:lang w:bidi="ar"/>
        </w:rPr>
        <w:t>3）报告撰写阶段</w:t>
      </w:r>
      <w:r>
        <w:rPr>
          <w:rFonts w:hint="eastAsia" w:ascii="方正仿宋_GBK" w:hAnsi="方正仿宋_GBK" w:eastAsia="方正仿宋_GBK" w:cs="方正仿宋_GBK"/>
          <w:color w:val="auto"/>
          <w:sz w:val="32"/>
          <w:szCs w:val="32"/>
          <w:highlight w:val="none"/>
          <w:lang w:bidi="ar"/>
        </w:rPr>
        <w:t>——</w:t>
      </w:r>
      <w:r>
        <w:rPr>
          <w:rFonts w:hint="eastAsia" w:ascii="方正仿宋_GBK" w:hAnsi="方正仿宋_GBK" w:eastAsia="方正仿宋_GBK" w:cs="方正仿宋_GBK"/>
          <w:color w:val="auto"/>
          <w:kern w:val="0"/>
          <w:sz w:val="32"/>
          <w:szCs w:val="32"/>
          <w:highlight w:val="none"/>
          <w:lang w:bidi="ar"/>
        </w:rPr>
        <w:t>20</w:t>
      </w:r>
      <w:r>
        <w:rPr>
          <w:rFonts w:hint="eastAsia" w:ascii="方正仿宋_GBK" w:hAnsi="方正仿宋_GBK" w:eastAsia="方正仿宋_GBK" w:cs="方正仿宋_GBK"/>
          <w:color w:val="auto"/>
          <w:kern w:val="0"/>
          <w:sz w:val="32"/>
          <w:szCs w:val="32"/>
          <w:highlight w:val="none"/>
          <w:lang w:val="en-US" w:eastAsia="zh-CN" w:bidi="ar"/>
        </w:rPr>
        <w:t>23</w:t>
      </w:r>
      <w:r>
        <w:rPr>
          <w:rFonts w:hint="eastAsia" w:ascii="方正仿宋_GBK" w:hAnsi="方正仿宋_GBK" w:eastAsia="方正仿宋_GBK" w:cs="方正仿宋_GBK"/>
          <w:color w:val="auto"/>
          <w:kern w:val="0"/>
          <w:sz w:val="32"/>
          <w:szCs w:val="32"/>
          <w:highlight w:val="none"/>
          <w:lang w:bidi="ar"/>
        </w:rPr>
        <w:t>年</w:t>
      </w:r>
      <w:r>
        <w:rPr>
          <w:rFonts w:hint="eastAsia" w:ascii="方正仿宋_GBK" w:hAnsi="方正仿宋_GBK" w:eastAsia="方正仿宋_GBK" w:cs="方正仿宋_GBK"/>
          <w:color w:val="auto"/>
          <w:kern w:val="0"/>
          <w:sz w:val="32"/>
          <w:szCs w:val="32"/>
          <w:highlight w:val="none"/>
          <w:lang w:val="en-US" w:eastAsia="zh-CN" w:bidi="ar"/>
        </w:rPr>
        <w:t>6</w:t>
      </w:r>
      <w:r>
        <w:rPr>
          <w:rFonts w:hint="eastAsia" w:ascii="方正仿宋_GBK" w:hAnsi="方正仿宋_GBK" w:eastAsia="方正仿宋_GBK" w:cs="方正仿宋_GBK"/>
          <w:color w:val="auto"/>
          <w:kern w:val="0"/>
          <w:sz w:val="32"/>
          <w:szCs w:val="32"/>
          <w:highlight w:val="none"/>
          <w:lang w:bidi="ar"/>
        </w:rPr>
        <w:t>月</w:t>
      </w:r>
      <w:r>
        <w:rPr>
          <w:rFonts w:hint="eastAsia" w:ascii="方正仿宋_GBK" w:hAnsi="方正仿宋_GBK" w:eastAsia="方正仿宋_GBK" w:cs="方正仿宋_GBK"/>
          <w:color w:val="auto"/>
          <w:kern w:val="0"/>
          <w:sz w:val="32"/>
          <w:szCs w:val="32"/>
          <w:highlight w:val="none"/>
          <w:lang w:val="en-US" w:eastAsia="zh-CN" w:bidi="ar"/>
        </w:rPr>
        <w:t>10</w:t>
      </w:r>
      <w:r>
        <w:rPr>
          <w:rFonts w:hint="eastAsia" w:ascii="方正仿宋_GBK" w:hAnsi="方正仿宋_GBK" w:eastAsia="方正仿宋_GBK" w:cs="方正仿宋_GBK"/>
          <w:color w:val="auto"/>
          <w:kern w:val="0"/>
          <w:sz w:val="32"/>
          <w:szCs w:val="32"/>
          <w:highlight w:val="none"/>
          <w:lang w:bidi="ar"/>
        </w:rPr>
        <w:t>日前</w:t>
      </w:r>
    </w:p>
    <w:p>
      <w:pPr>
        <w:keepNext w:val="0"/>
        <w:keepLines w:val="0"/>
        <w:pageBreakBefore w:val="0"/>
        <w:widowControl/>
        <w:kinsoku/>
        <w:wordWrap/>
        <w:topLinePunct w:val="0"/>
        <w:bidi w:val="0"/>
        <w:snapToGrid/>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bidi="ar"/>
        </w:rPr>
      </w:pPr>
      <w:r>
        <w:rPr>
          <w:rFonts w:hint="eastAsia" w:ascii="方正仿宋_GBK" w:hAnsi="方正仿宋_GBK" w:eastAsia="方正仿宋_GBK" w:cs="方正仿宋_GBK"/>
          <w:color w:val="auto"/>
          <w:kern w:val="0"/>
          <w:sz w:val="32"/>
          <w:szCs w:val="32"/>
          <w:highlight w:val="none"/>
          <w:lang w:bidi="ar"/>
        </w:rPr>
        <w:t>撰写评价报告（20</w:t>
      </w:r>
      <w:r>
        <w:rPr>
          <w:rFonts w:hint="eastAsia" w:ascii="方正仿宋_GBK" w:hAnsi="方正仿宋_GBK" w:eastAsia="方正仿宋_GBK" w:cs="方正仿宋_GBK"/>
          <w:color w:val="auto"/>
          <w:kern w:val="0"/>
          <w:sz w:val="32"/>
          <w:szCs w:val="32"/>
          <w:highlight w:val="none"/>
          <w:lang w:val="en-US" w:eastAsia="zh-CN" w:bidi="ar"/>
        </w:rPr>
        <w:t>23</w:t>
      </w:r>
      <w:r>
        <w:rPr>
          <w:rFonts w:hint="eastAsia" w:ascii="方正仿宋_GBK" w:hAnsi="方正仿宋_GBK" w:eastAsia="方正仿宋_GBK" w:cs="方正仿宋_GBK"/>
          <w:color w:val="auto"/>
          <w:kern w:val="0"/>
          <w:sz w:val="32"/>
          <w:szCs w:val="32"/>
          <w:highlight w:val="none"/>
          <w:lang w:bidi="ar"/>
        </w:rPr>
        <w:t>年</w:t>
      </w:r>
      <w:r>
        <w:rPr>
          <w:rFonts w:hint="eastAsia" w:ascii="方正仿宋_GBK" w:hAnsi="方正仿宋_GBK" w:eastAsia="方正仿宋_GBK" w:cs="方正仿宋_GBK"/>
          <w:color w:val="auto"/>
          <w:kern w:val="0"/>
          <w:sz w:val="32"/>
          <w:szCs w:val="32"/>
          <w:highlight w:val="none"/>
          <w:lang w:val="en-US" w:eastAsia="zh-CN" w:bidi="ar"/>
        </w:rPr>
        <w:t>6</w:t>
      </w:r>
      <w:r>
        <w:rPr>
          <w:rFonts w:hint="eastAsia" w:ascii="方正仿宋_GBK" w:hAnsi="方正仿宋_GBK" w:eastAsia="方正仿宋_GBK" w:cs="方正仿宋_GBK"/>
          <w:color w:val="auto"/>
          <w:kern w:val="0"/>
          <w:sz w:val="32"/>
          <w:szCs w:val="32"/>
          <w:highlight w:val="none"/>
          <w:lang w:bidi="ar"/>
        </w:rPr>
        <w:t>月</w:t>
      </w:r>
      <w:r>
        <w:rPr>
          <w:rFonts w:hint="eastAsia" w:ascii="方正仿宋_GBK" w:hAnsi="方正仿宋_GBK" w:eastAsia="方正仿宋_GBK" w:cs="方正仿宋_GBK"/>
          <w:color w:val="auto"/>
          <w:kern w:val="0"/>
          <w:sz w:val="32"/>
          <w:szCs w:val="32"/>
          <w:highlight w:val="none"/>
          <w:lang w:val="en-US" w:eastAsia="zh-CN" w:bidi="ar"/>
        </w:rPr>
        <w:t>10</w:t>
      </w:r>
      <w:r>
        <w:rPr>
          <w:rFonts w:hint="eastAsia" w:ascii="方正仿宋_GBK" w:hAnsi="方正仿宋_GBK" w:eastAsia="方正仿宋_GBK" w:cs="方正仿宋_GBK"/>
          <w:color w:val="auto"/>
          <w:kern w:val="0"/>
          <w:sz w:val="32"/>
          <w:szCs w:val="32"/>
          <w:highlight w:val="none"/>
          <w:lang w:bidi="ar"/>
        </w:rPr>
        <w:t>日前）。项目评价组根据绩效评价的原理，对收集的数据汇总和分析，撰写绩效评价报告，形成绩效评价报告初稿，征求项目实施单位意见，双方意见达成一致后在规定时间内上报</w:t>
      </w:r>
      <w:r>
        <w:rPr>
          <w:rFonts w:hint="eastAsia" w:ascii="方正仿宋_GBK" w:hAnsi="方正仿宋_GBK" w:eastAsia="方正仿宋_GBK" w:cs="方正仿宋_GBK"/>
          <w:color w:val="auto"/>
          <w:kern w:val="0"/>
          <w:sz w:val="32"/>
          <w:szCs w:val="32"/>
          <w:highlight w:val="none"/>
          <w:lang w:eastAsia="zh-CN" w:bidi="ar"/>
        </w:rPr>
        <w:t>伽师县</w:t>
      </w:r>
      <w:r>
        <w:rPr>
          <w:rFonts w:hint="eastAsia" w:ascii="方正仿宋_GBK" w:hAnsi="方正仿宋_GBK" w:eastAsia="方正仿宋_GBK" w:cs="方正仿宋_GBK"/>
          <w:color w:val="auto"/>
          <w:kern w:val="0"/>
          <w:sz w:val="32"/>
          <w:szCs w:val="32"/>
          <w:highlight w:val="none"/>
          <w:lang w:bidi="ar"/>
        </w:rPr>
        <w:t>财政局</w:t>
      </w:r>
      <w:r>
        <w:rPr>
          <w:rFonts w:hint="eastAsia" w:ascii="方正仿宋_GBK" w:hAnsi="方正仿宋_GBK" w:eastAsia="方正仿宋_GBK" w:cs="方正仿宋_GBK"/>
          <w:color w:val="auto"/>
          <w:kern w:val="0"/>
          <w:sz w:val="32"/>
          <w:szCs w:val="32"/>
          <w:highlight w:val="none"/>
          <w:lang w:eastAsia="zh-CN" w:bidi="ar"/>
        </w:rPr>
        <w:t>，</w:t>
      </w:r>
      <w:r>
        <w:rPr>
          <w:rFonts w:hint="eastAsia" w:ascii="方正仿宋_GBK" w:hAnsi="方正仿宋_GBK" w:eastAsia="方正仿宋_GBK" w:cs="方正仿宋_GBK"/>
          <w:color w:val="auto"/>
          <w:kern w:val="0"/>
          <w:sz w:val="32"/>
          <w:szCs w:val="32"/>
          <w:highlight w:val="none"/>
          <w:lang w:bidi="ar"/>
        </w:rPr>
        <w:t>并根据伽师县财政局的安排与单位沟通确认。</w:t>
      </w:r>
    </w:p>
    <w:p>
      <w:pPr>
        <w:keepNext w:val="0"/>
        <w:keepLines w:val="0"/>
        <w:pageBreakBefore w:val="0"/>
        <w:widowControl/>
        <w:kinsoku/>
        <w:wordWrap/>
        <w:topLinePunct w:val="0"/>
        <w:bidi w:val="0"/>
        <w:snapToGrid/>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eastAsia="zh-Hans" w:bidi="ar"/>
        </w:rPr>
      </w:pPr>
      <w:r>
        <w:rPr>
          <w:rFonts w:hint="eastAsia" w:ascii="方正仿宋_GBK" w:hAnsi="方正仿宋_GBK" w:eastAsia="方正仿宋_GBK" w:cs="方正仿宋_GBK"/>
          <w:color w:val="auto"/>
          <w:kern w:val="0"/>
          <w:sz w:val="32"/>
          <w:szCs w:val="32"/>
          <w:highlight w:val="none"/>
          <w:lang w:eastAsia="zh-Hans" w:bidi="ar"/>
        </w:rPr>
        <w:t>（4）报告评审修改阶段：2023年7月19日——2023年7月24日</w:t>
      </w:r>
    </w:p>
    <w:p>
      <w:pPr>
        <w:keepNext w:val="0"/>
        <w:keepLines w:val="0"/>
        <w:pageBreakBefore w:val="0"/>
        <w:widowControl/>
        <w:kinsoku/>
        <w:wordWrap/>
        <w:topLinePunct w:val="0"/>
        <w:bidi w:val="0"/>
        <w:snapToGrid/>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eastAsia="zh-Hans" w:bidi="ar"/>
        </w:rPr>
      </w:pPr>
      <w:r>
        <w:rPr>
          <w:rFonts w:hint="eastAsia" w:ascii="方正仿宋_GBK" w:hAnsi="方正仿宋_GBK" w:eastAsia="方正仿宋_GBK" w:cs="方正仿宋_GBK"/>
          <w:color w:val="auto"/>
          <w:kern w:val="0"/>
          <w:sz w:val="32"/>
          <w:szCs w:val="32"/>
          <w:highlight w:val="none"/>
          <w:lang w:eastAsia="zh-Hans" w:bidi="ar"/>
        </w:rPr>
        <w:t>财政局牵头组织人大</w:t>
      </w:r>
      <w:r>
        <w:rPr>
          <w:rFonts w:hint="eastAsia" w:ascii="方正仿宋_GBK" w:hAnsi="方正仿宋_GBK" w:eastAsia="方正仿宋_GBK" w:cs="方正仿宋_GBK"/>
          <w:color w:val="auto"/>
          <w:kern w:val="0"/>
          <w:sz w:val="32"/>
          <w:szCs w:val="32"/>
          <w:highlight w:val="none"/>
          <w:lang w:eastAsia="zh-CN" w:bidi="ar"/>
        </w:rPr>
        <w:t>代表</w:t>
      </w:r>
      <w:r>
        <w:rPr>
          <w:rFonts w:hint="eastAsia" w:ascii="方正仿宋_GBK" w:hAnsi="方正仿宋_GBK" w:eastAsia="方正仿宋_GBK" w:cs="方正仿宋_GBK"/>
          <w:color w:val="auto"/>
          <w:kern w:val="0"/>
          <w:sz w:val="32"/>
          <w:szCs w:val="32"/>
          <w:highlight w:val="none"/>
          <w:lang w:eastAsia="zh-Hans" w:bidi="ar"/>
        </w:rPr>
        <w:t>，</w:t>
      </w:r>
      <w:r>
        <w:rPr>
          <w:rFonts w:hint="eastAsia" w:ascii="方正仿宋_GBK" w:hAnsi="方正仿宋_GBK" w:eastAsia="方正仿宋_GBK" w:cs="方正仿宋_GBK"/>
          <w:color w:val="auto"/>
          <w:kern w:val="0"/>
          <w:sz w:val="32"/>
          <w:szCs w:val="32"/>
          <w:highlight w:val="none"/>
          <w:lang w:eastAsia="zh-CN" w:bidi="ar"/>
        </w:rPr>
        <w:t>政协委员、审计部门代表、</w:t>
      </w:r>
      <w:r>
        <w:rPr>
          <w:rFonts w:hint="eastAsia" w:ascii="方正仿宋_GBK" w:hAnsi="方正仿宋_GBK" w:eastAsia="方正仿宋_GBK" w:cs="方正仿宋_GBK"/>
          <w:color w:val="auto"/>
          <w:kern w:val="0"/>
          <w:sz w:val="32"/>
          <w:szCs w:val="32"/>
          <w:highlight w:val="none"/>
          <w:lang w:eastAsia="zh-Hans" w:bidi="ar"/>
        </w:rPr>
        <w:t>财政部门</w:t>
      </w:r>
      <w:r>
        <w:rPr>
          <w:rFonts w:hint="eastAsia" w:ascii="方正仿宋_GBK" w:hAnsi="方正仿宋_GBK" w:eastAsia="方正仿宋_GBK" w:cs="方正仿宋_GBK"/>
          <w:color w:val="auto"/>
          <w:kern w:val="0"/>
          <w:sz w:val="32"/>
          <w:szCs w:val="32"/>
          <w:highlight w:val="none"/>
          <w:lang w:eastAsia="zh-CN" w:bidi="ar"/>
        </w:rPr>
        <w:t>代表、</w:t>
      </w:r>
      <w:r>
        <w:rPr>
          <w:rFonts w:hint="eastAsia" w:ascii="方正仿宋_GBK" w:hAnsi="方正仿宋_GBK" w:eastAsia="方正仿宋_GBK" w:cs="方正仿宋_GBK"/>
          <w:color w:val="auto"/>
          <w:kern w:val="0"/>
          <w:sz w:val="32"/>
          <w:szCs w:val="32"/>
          <w:highlight w:val="none"/>
          <w:lang w:eastAsia="zh-Hans" w:bidi="ar"/>
        </w:rPr>
        <w:t>绩效评价专家</w:t>
      </w:r>
      <w:r>
        <w:rPr>
          <w:rFonts w:hint="eastAsia" w:ascii="方正仿宋_GBK" w:hAnsi="方正仿宋_GBK" w:eastAsia="方正仿宋_GBK" w:cs="方正仿宋_GBK"/>
          <w:color w:val="auto"/>
          <w:kern w:val="0"/>
          <w:sz w:val="32"/>
          <w:szCs w:val="32"/>
          <w:highlight w:val="none"/>
          <w:lang w:eastAsia="zh-CN" w:bidi="ar"/>
        </w:rPr>
        <w:t>、</w:t>
      </w:r>
      <w:r>
        <w:rPr>
          <w:rFonts w:hint="eastAsia" w:ascii="方正仿宋_GBK" w:hAnsi="方正仿宋_GBK" w:eastAsia="方正仿宋_GBK" w:cs="方正仿宋_GBK"/>
          <w:color w:val="auto"/>
          <w:kern w:val="0"/>
          <w:sz w:val="32"/>
          <w:szCs w:val="32"/>
          <w:highlight w:val="none"/>
          <w:lang w:eastAsia="zh-Hans" w:bidi="ar"/>
        </w:rPr>
        <w:t>行业专家</w:t>
      </w:r>
      <w:r>
        <w:rPr>
          <w:rFonts w:hint="eastAsia" w:ascii="方正仿宋_GBK" w:hAnsi="方正仿宋_GBK" w:eastAsia="方正仿宋_GBK" w:cs="方正仿宋_GBK"/>
          <w:color w:val="auto"/>
          <w:kern w:val="0"/>
          <w:sz w:val="32"/>
          <w:szCs w:val="32"/>
          <w:highlight w:val="none"/>
          <w:lang w:eastAsia="zh-CN" w:bidi="ar"/>
        </w:rPr>
        <w:t>、被评价领域行业专家</w:t>
      </w:r>
      <w:r>
        <w:rPr>
          <w:rFonts w:hint="eastAsia" w:ascii="方正仿宋_GBK" w:hAnsi="方正仿宋_GBK" w:eastAsia="方正仿宋_GBK" w:cs="方正仿宋_GBK"/>
          <w:color w:val="auto"/>
          <w:kern w:val="0"/>
          <w:sz w:val="32"/>
          <w:szCs w:val="32"/>
          <w:highlight w:val="none"/>
          <w:lang w:eastAsia="zh-Hans" w:bidi="ar"/>
        </w:rPr>
        <w:t>以及第三方机构代表开展财政绩效评价报告评审会议。绩效评价工作小组根据评审建议逐条修改报告并报专家评审组组长</w:t>
      </w:r>
      <w:r>
        <w:rPr>
          <w:rFonts w:hint="eastAsia" w:ascii="方正仿宋_GBK" w:hAnsi="方正仿宋_GBK" w:eastAsia="方正仿宋_GBK" w:cs="方正仿宋_GBK"/>
          <w:color w:val="auto"/>
          <w:kern w:val="0"/>
          <w:sz w:val="32"/>
          <w:szCs w:val="32"/>
          <w:highlight w:val="none"/>
          <w:lang w:eastAsia="zh-CN" w:bidi="ar"/>
        </w:rPr>
        <w:t>、</w:t>
      </w:r>
      <w:r>
        <w:rPr>
          <w:rFonts w:hint="eastAsia" w:ascii="方正仿宋_GBK" w:hAnsi="方正仿宋_GBK" w:eastAsia="方正仿宋_GBK" w:cs="方正仿宋_GBK"/>
          <w:color w:val="auto"/>
          <w:kern w:val="0"/>
          <w:sz w:val="32"/>
          <w:szCs w:val="32"/>
          <w:highlight w:val="none"/>
          <w:lang w:eastAsia="zh-Hans" w:bidi="ar"/>
        </w:rPr>
        <w:t>绩效评价</w:t>
      </w:r>
      <w:r>
        <w:rPr>
          <w:rFonts w:hint="eastAsia" w:ascii="方正仿宋_GBK" w:hAnsi="方正仿宋_GBK" w:eastAsia="方正仿宋_GBK" w:cs="方正仿宋_GBK"/>
          <w:color w:val="auto"/>
          <w:kern w:val="0"/>
          <w:sz w:val="32"/>
          <w:szCs w:val="32"/>
          <w:highlight w:val="none"/>
          <w:lang w:eastAsia="zh-CN" w:bidi="ar"/>
        </w:rPr>
        <w:t>股</w:t>
      </w:r>
      <w:r>
        <w:rPr>
          <w:rFonts w:hint="eastAsia" w:ascii="方正仿宋_GBK" w:hAnsi="方正仿宋_GBK" w:eastAsia="方正仿宋_GBK" w:cs="方正仿宋_GBK"/>
          <w:color w:val="auto"/>
          <w:kern w:val="0"/>
          <w:sz w:val="32"/>
          <w:szCs w:val="32"/>
          <w:highlight w:val="none"/>
          <w:lang w:eastAsia="zh-Hans" w:bidi="ar"/>
        </w:rPr>
        <w:t>审核。</w:t>
      </w:r>
    </w:p>
    <w:p>
      <w:pPr>
        <w:keepNext w:val="0"/>
        <w:keepLines w:val="0"/>
        <w:pageBreakBefore w:val="0"/>
        <w:widowControl/>
        <w:kinsoku/>
        <w:wordWrap/>
        <w:topLinePunct w:val="0"/>
        <w:bidi w:val="0"/>
        <w:snapToGrid/>
        <w:spacing w:line="570" w:lineRule="exact"/>
        <w:ind w:firstLine="643" w:firstLineChars="200"/>
        <w:jc w:val="both"/>
        <w:rPr>
          <w:rFonts w:hint="eastAsia" w:ascii="方正仿宋_GBK" w:hAnsi="方正仿宋_GBK" w:eastAsia="方正仿宋_GBK" w:cs="方正仿宋_GBK"/>
          <w:color w:val="auto"/>
          <w:spacing w:val="6"/>
          <w:kern w:val="0"/>
          <w:sz w:val="32"/>
          <w:szCs w:val="32"/>
          <w:highlight w:val="none"/>
          <w:lang w:val="en-US" w:eastAsia="zh-Hans" w:bidi="ar"/>
        </w:rPr>
      </w:pPr>
      <w:r>
        <w:rPr>
          <w:rFonts w:hint="eastAsia" w:ascii="方正仿宋_GBK" w:hAnsi="方正仿宋_GBK" w:eastAsia="方正仿宋_GBK" w:cs="方正仿宋_GBK"/>
          <w:b/>
          <w:bCs/>
          <w:color w:val="auto"/>
          <w:spacing w:val="0"/>
          <w:kern w:val="0"/>
          <w:sz w:val="32"/>
          <w:szCs w:val="32"/>
          <w:highlight w:val="none"/>
          <w:lang w:val="en-US" w:eastAsia="zh-CN" w:bidi="ar"/>
        </w:rPr>
        <w:t>3.专家评审意见</w:t>
      </w:r>
    </w:p>
    <w:p>
      <w:pPr>
        <w:pStyle w:val="31"/>
        <w:keepNext w:val="0"/>
        <w:keepLines w:val="0"/>
        <w:pageBreakBefore w:val="0"/>
        <w:widowControl/>
        <w:kinsoku/>
        <w:wordWrap/>
        <w:overflowPunct/>
        <w:topLinePunct w:val="0"/>
        <w:autoSpaceDE/>
        <w:autoSpaceDN/>
        <w:bidi w:val="0"/>
        <w:adjustRightInd/>
        <w:snapToGrid/>
        <w:spacing w:line="570" w:lineRule="exact"/>
        <w:ind w:left="0" w:leftChars="0" w:firstLine="640" w:firstLineChars="200"/>
        <w:jc w:val="both"/>
        <w:textAlignment w:val="auto"/>
        <w:rPr>
          <w:rFonts w:hint="eastAsia" w:ascii="方正仿宋_GBK" w:hAnsi="方正仿宋_GBK" w:eastAsia="方正仿宋_GBK" w:cs="方正仿宋_GBK"/>
          <w:color w:val="auto"/>
          <w:spacing w:val="6"/>
          <w:kern w:val="0"/>
          <w:sz w:val="32"/>
          <w:szCs w:val="32"/>
          <w:highlight w:val="none"/>
          <w:lang w:val="en-US" w:eastAsia="zh-Hans" w:bidi="ar"/>
        </w:rPr>
      </w:pPr>
      <w:r>
        <w:rPr>
          <w:rFonts w:hint="eastAsia" w:ascii="方正仿宋_GBK" w:hAnsi="方正仿宋_GBK" w:eastAsia="方正仿宋_GBK" w:cs="方正仿宋_GBK"/>
          <w:b w:val="0"/>
          <w:bCs w:val="0"/>
          <w:color w:val="auto"/>
          <w:spacing w:val="0"/>
          <w:kern w:val="0"/>
          <w:sz w:val="32"/>
          <w:szCs w:val="32"/>
          <w:highlight w:val="none"/>
          <w:lang w:val="en-US" w:eastAsia="zh-CN" w:bidi="ar"/>
        </w:rPr>
        <w:t>根据专家评审组针对该项目提出的：1.</w:t>
      </w:r>
      <w:r>
        <w:rPr>
          <w:rFonts w:hint="eastAsia" w:ascii="方正仿宋_GBK" w:hAnsi="方正仿宋_GBK" w:eastAsia="方正仿宋_GBK" w:cs="方正仿宋_GBK"/>
          <w:color w:val="auto"/>
          <w:spacing w:val="6"/>
          <w:kern w:val="0"/>
          <w:sz w:val="32"/>
          <w:szCs w:val="32"/>
          <w:highlight w:val="none"/>
          <w:lang w:val="en-US" w:eastAsia="zh-Hans" w:bidi="ar"/>
        </w:rPr>
        <w:t>预算安排、资金来源未在报告中明确描述</w:t>
      </w:r>
      <w:r>
        <w:rPr>
          <w:rFonts w:hint="eastAsia" w:ascii="方正仿宋_GBK" w:hAnsi="方正仿宋_GBK" w:eastAsia="方正仿宋_GBK" w:cs="方正仿宋_GBK"/>
          <w:color w:val="auto"/>
          <w:spacing w:val="6"/>
          <w:kern w:val="0"/>
          <w:sz w:val="32"/>
          <w:szCs w:val="32"/>
          <w:highlight w:val="none"/>
          <w:lang w:val="en-US" w:eastAsia="zh-CN" w:bidi="ar"/>
        </w:rPr>
        <w:t>；2.</w:t>
      </w:r>
      <w:r>
        <w:rPr>
          <w:rFonts w:hint="eastAsia" w:ascii="方正仿宋_GBK" w:hAnsi="方正仿宋_GBK" w:eastAsia="方正仿宋_GBK" w:cs="方正仿宋_GBK"/>
          <w:color w:val="auto"/>
          <w:spacing w:val="6"/>
          <w:kern w:val="0"/>
          <w:sz w:val="32"/>
          <w:szCs w:val="32"/>
          <w:highlight w:val="none"/>
          <w:lang w:val="en-US" w:eastAsia="zh-Hans" w:bidi="ar"/>
        </w:rPr>
        <w:t>项目支出金额前后不一致</w:t>
      </w:r>
      <w:r>
        <w:rPr>
          <w:rFonts w:hint="eastAsia" w:ascii="方正仿宋_GBK" w:hAnsi="方正仿宋_GBK" w:eastAsia="方正仿宋_GBK" w:cs="方正仿宋_GBK"/>
          <w:color w:val="auto"/>
          <w:spacing w:val="6"/>
          <w:kern w:val="0"/>
          <w:sz w:val="32"/>
          <w:szCs w:val="32"/>
          <w:highlight w:val="none"/>
          <w:lang w:val="en-US" w:eastAsia="zh-CN" w:bidi="ar"/>
        </w:rPr>
        <w:t>；3.</w:t>
      </w:r>
      <w:r>
        <w:rPr>
          <w:rFonts w:hint="eastAsia" w:ascii="方正仿宋_GBK" w:hAnsi="方正仿宋_GBK" w:eastAsia="方正仿宋_GBK" w:cs="方正仿宋_GBK"/>
          <w:color w:val="auto"/>
          <w:spacing w:val="6"/>
          <w:kern w:val="0"/>
          <w:sz w:val="32"/>
          <w:szCs w:val="32"/>
          <w:highlight w:val="none"/>
          <w:lang w:val="en-US" w:eastAsia="zh-Hans" w:bidi="ar"/>
        </w:rPr>
        <w:t>单位名称及项目名称错误。</w:t>
      </w:r>
    </w:p>
    <w:p>
      <w:pPr>
        <w:pageBreakBefore w:val="0"/>
        <w:numPr>
          <w:ilvl w:val="0"/>
          <w:numId w:val="0"/>
        </w:numPr>
        <w:kinsoku/>
        <w:wordWrap/>
        <w:bidi w:val="0"/>
        <w:spacing w:line="570" w:lineRule="exact"/>
        <w:ind w:firstLine="640" w:firstLineChars="200"/>
        <w:jc w:val="both"/>
        <w:rPr>
          <w:rFonts w:hint="eastAsia" w:ascii="方正仿宋_GBK" w:hAnsi="方正仿宋_GBK" w:eastAsia="方正仿宋_GBK" w:cs="方正仿宋_GBK"/>
          <w:b w:val="0"/>
          <w:bCs/>
          <w:color w:val="auto"/>
          <w:spacing w:val="6"/>
          <w:kern w:val="0"/>
          <w:sz w:val="32"/>
          <w:szCs w:val="32"/>
          <w:highlight w:val="none"/>
          <w:lang w:val="en-US" w:eastAsia="zh-CN" w:bidi="ar"/>
        </w:rPr>
      </w:pPr>
      <w:r>
        <w:rPr>
          <w:rFonts w:hint="eastAsia" w:ascii="方正仿宋_GBK" w:hAnsi="方正仿宋_GBK" w:eastAsia="方正仿宋_GBK" w:cs="方正仿宋_GBK"/>
          <w:sz w:val="32"/>
          <w:szCs w:val="32"/>
          <w:highlight w:val="none"/>
          <w:lang w:val="en-US" w:eastAsia="zh-CN"/>
        </w:rPr>
        <w:t>根据专家评审组提出的问题对报告进行修改完善：1.重新描述了资金基本情况、预算安排、资金来源等；2.</w:t>
      </w:r>
      <w:r>
        <w:rPr>
          <w:rFonts w:hint="eastAsia" w:ascii="方正仿宋_GBK" w:hAnsi="方正仿宋_GBK" w:eastAsia="方正仿宋_GBK" w:cs="方正仿宋_GBK"/>
          <w:color w:val="auto"/>
          <w:spacing w:val="6"/>
          <w:kern w:val="0"/>
          <w:sz w:val="32"/>
          <w:szCs w:val="32"/>
          <w:highlight w:val="none"/>
          <w:lang w:val="en-US" w:eastAsia="zh-CN" w:bidi="ar"/>
        </w:rPr>
        <w:t>跟单位核实已</w:t>
      </w:r>
      <w:r>
        <w:rPr>
          <w:rFonts w:hint="eastAsia" w:ascii="方正仿宋_GBK" w:hAnsi="方正仿宋_GBK" w:eastAsia="方正仿宋_GBK" w:cs="方正仿宋_GBK"/>
          <w:b w:val="0"/>
          <w:bCs/>
          <w:color w:val="auto"/>
          <w:spacing w:val="6"/>
          <w:kern w:val="0"/>
          <w:sz w:val="32"/>
          <w:szCs w:val="32"/>
          <w:highlight w:val="none"/>
          <w:lang w:val="en-US" w:eastAsia="zh-CN" w:bidi="ar"/>
        </w:rPr>
        <w:t>土壤样品检测费102.55万元；3.</w:t>
      </w:r>
      <w:r>
        <w:rPr>
          <w:rFonts w:hint="eastAsia" w:ascii="方正仿宋_GBK" w:hAnsi="方正仿宋_GBK" w:eastAsia="方正仿宋_GBK" w:cs="方正仿宋_GBK"/>
          <w:color w:val="auto"/>
          <w:spacing w:val="6"/>
          <w:kern w:val="0"/>
          <w:sz w:val="32"/>
          <w:szCs w:val="32"/>
          <w:highlight w:val="none"/>
          <w:lang w:val="en-US" w:eastAsia="zh-Hans" w:bidi="ar"/>
        </w:rPr>
        <w:t>单位名称及项目名称</w:t>
      </w:r>
      <w:r>
        <w:rPr>
          <w:rFonts w:hint="eastAsia" w:ascii="方正仿宋_GBK" w:hAnsi="方正仿宋_GBK" w:eastAsia="方正仿宋_GBK" w:cs="方正仿宋_GBK"/>
          <w:color w:val="auto"/>
          <w:spacing w:val="6"/>
          <w:kern w:val="0"/>
          <w:sz w:val="32"/>
          <w:szCs w:val="32"/>
          <w:highlight w:val="none"/>
          <w:lang w:val="en-US" w:eastAsia="zh-CN" w:bidi="ar"/>
        </w:rPr>
        <w:t>，错别字已修改</w:t>
      </w:r>
      <w:r>
        <w:rPr>
          <w:rFonts w:hint="eastAsia" w:ascii="方正仿宋_GBK" w:hAnsi="方正仿宋_GBK" w:eastAsia="方正仿宋_GBK" w:cs="方正仿宋_GBK"/>
          <w:b w:val="0"/>
          <w:bCs/>
          <w:color w:val="auto"/>
          <w:spacing w:val="6"/>
          <w:kern w:val="0"/>
          <w:sz w:val="32"/>
          <w:szCs w:val="32"/>
          <w:highlight w:val="none"/>
          <w:lang w:val="en-US" w:eastAsia="zh-CN" w:bidi="ar"/>
        </w:rPr>
        <w:t>。</w:t>
      </w:r>
    </w:p>
    <w:p>
      <w:pPr>
        <w:pageBreakBefore w:val="0"/>
        <w:numPr>
          <w:ilvl w:val="0"/>
          <w:numId w:val="0"/>
        </w:numPr>
        <w:kinsoku/>
        <w:wordWrap/>
        <w:bidi w:val="0"/>
        <w:spacing w:line="570" w:lineRule="exact"/>
        <w:ind w:firstLine="640" w:firstLineChars="200"/>
        <w:rPr>
          <w:rFonts w:hint="eastAsia" w:ascii="方正仿宋_GBK" w:hAnsi="方正仿宋_GBK" w:eastAsia="方正仿宋_GBK" w:cs="方正仿宋_GBK"/>
          <w:b w:val="0"/>
          <w:bCs w:val="0"/>
          <w:color w:val="auto"/>
          <w:spacing w:val="0"/>
          <w:kern w:val="0"/>
          <w:sz w:val="32"/>
          <w:szCs w:val="32"/>
          <w:highlight w:val="none"/>
          <w:lang w:val="en-US" w:eastAsia="zh-CN" w:bidi="ar"/>
        </w:rPr>
      </w:pPr>
      <w:r>
        <w:rPr>
          <w:rFonts w:hint="eastAsia" w:ascii="方正仿宋_GBK" w:hAnsi="方正仿宋_GBK" w:eastAsia="方正仿宋_GBK" w:cs="方正仿宋_GBK"/>
          <w:b w:val="0"/>
          <w:bCs w:val="0"/>
          <w:color w:val="auto"/>
          <w:spacing w:val="0"/>
          <w:kern w:val="0"/>
          <w:sz w:val="32"/>
          <w:szCs w:val="32"/>
          <w:highlight w:val="none"/>
          <w:lang w:val="en-US" w:eastAsia="zh-CN" w:bidi="ar"/>
        </w:rPr>
        <w:t>将修改无误的报告反馈单位，由单位审核后签署《报告确认函》，将由主评人签字确认的报告定稿交财政局绩效股。</w:t>
      </w:r>
    </w:p>
    <w:p>
      <w:pPr>
        <w:pStyle w:val="31"/>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方正黑体_GBK" w:hAnsi="方正黑体_GBK" w:eastAsia="方正黑体_GBK" w:cs="方正黑体_GBK"/>
          <w:sz w:val="32"/>
          <w:szCs w:val="32"/>
          <w:highlight w:val="none"/>
        </w:rPr>
      </w:pPr>
      <w:bookmarkStart w:id="96" w:name="_Toc3165_WPSOffice_Level1"/>
      <w:r>
        <w:rPr>
          <w:rFonts w:hint="eastAsia" w:ascii="方正黑体_GBK" w:hAnsi="方正黑体_GBK" w:eastAsia="方正黑体_GBK" w:cs="方正黑体_GBK"/>
          <w:sz w:val="32"/>
          <w:szCs w:val="32"/>
          <w:highlight w:val="none"/>
          <w:lang w:eastAsia="zh-CN"/>
        </w:rPr>
        <w:t>三、</w:t>
      </w:r>
      <w:r>
        <w:rPr>
          <w:rFonts w:hint="eastAsia" w:ascii="方正黑体_GBK" w:hAnsi="方正黑体_GBK" w:eastAsia="方正黑体_GBK" w:cs="方正黑体_GBK"/>
          <w:sz w:val="32"/>
          <w:szCs w:val="32"/>
          <w:highlight w:val="none"/>
        </w:rPr>
        <w:t>综合评价情况及评价结论</w:t>
      </w:r>
      <w:bookmarkEnd w:id="96"/>
      <w:bookmarkStart w:id="97" w:name="_Toc68364665"/>
    </w:p>
    <w:p>
      <w:pPr>
        <w:pStyle w:val="31"/>
        <w:keepNext w:val="0"/>
        <w:keepLines w:val="0"/>
        <w:pageBreakBefore w:val="0"/>
        <w:widowControl/>
        <w:numPr>
          <w:ilvl w:val="0"/>
          <w:numId w:val="0"/>
        </w:numPr>
        <w:kinsoku/>
        <w:wordWrap/>
        <w:overflowPunct/>
        <w:topLinePunct w:val="0"/>
        <w:autoSpaceDE/>
        <w:autoSpaceDN/>
        <w:bidi w:val="0"/>
        <w:adjustRightInd/>
        <w:snapToGrid/>
        <w:spacing w:line="570" w:lineRule="exact"/>
        <w:ind w:firstLine="664" w:firstLineChars="200"/>
        <w:jc w:val="both"/>
        <w:textAlignment w:val="auto"/>
        <w:rPr>
          <w:rFonts w:hint="eastAsia" w:ascii="方正仿宋_GBK" w:hAnsi="方正仿宋_GBK" w:eastAsia="方正仿宋_GBK" w:cs="方正仿宋_GBK"/>
          <w:b w:val="0"/>
          <w:bCs w:val="0"/>
          <w:color w:val="auto"/>
          <w:sz w:val="32"/>
          <w:szCs w:val="32"/>
          <w:highlight w:val="none"/>
          <w:lang w:val="en-US" w:eastAsia="zh-CN"/>
        </w:rPr>
      </w:pPr>
      <w:bookmarkStart w:id="98" w:name="_Toc8982_WPSOffice_Level2"/>
      <w:r>
        <w:rPr>
          <w:rFonts w:hint="eastAsia" w:ascii="方正楷体_GBK" w:hAnsi="方正楷体_GBK" w:eastAsia="方正楷体_GBK" w:cs="方正楷体_GBK"/>
          <w:color w:val="auto"/>
          <w:spacing w:val="6"/>
          <w:kern w:val="0"/>
          <w:sz w:val="32"/>
          <w:szCs w:val="32"/>
          <w:highlight w:val="none"/>
          <w:lang w:val="en-US" w:eastAsia="zh-CN" w:bidi="ar"/>
        </w:rPr>
        <w:t>（一）综合评价情况</w:t>
      </w:r>
      <w:bookmarkEnd w:id="97"/>
      <w:bookmarkEnd w:id="98"/>
    </w:p>
    <w:p>
      <w:pPr>
        <w:pStyle w:val="5"/>
        <w:keepNext w:val="0"/>
        <w:keepLines w:val="0"/>
        <w:pageBreakBefore w:val="0"/>
        <w:widowControl/>
        <w:suppressLineNumbers w:val="0"/>
        <w:shd w:val="clear" w:fill="FFFFFF"/>
        <w:kinsoku/>
        <w:wordWrap/>
        <w:bidi w:val="0"/>
        <w:spacing w:before="0" w:beforeAutospacing="0" w:after="0" w:afterAutospacing="0" w:line="570" w:lineRule="exact"/>
        <w:ind w:left="0" w:right="0" w:firstLine="640" w:firstLineChars="200"/>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rPr>
        <w:t>经评价组通过实地调研</w:t>
      </w:r>
      <w:r>
        <w:rPr>
          <w:rFonts w:hint="eastAsia" w:ascii="方正仿宋_GBK" w:hAnsi="方正仿宋_GBK" w:eastAsia="方正仿宋_GBK" w:cs="方正仿宋_GBK"/>
          <w:b w:val="0"/>
          <w:bCs w:val="0"/>
          <w:color w:val="auto"/>
          <w:sz w:val="32"/>
          <w:szCs w:val="32"/>
          <w:highlight w:val="none"/>
          <w:lang w:eastAsia="zh-CN"/>
        </w:rPr>
        <w:t>、数据分析、访谈及</w:t>
      </w:r>
      <w:r>
        <w:rPr>
          <w:rFonts w:hint="eastAsia" w:ascii="方正仿宋_GBK" w:hAnsi="方正仿宋_GBK" w:eastAsia="方正仿宋_GBK" w:cs="方正仿宋_GBK"/>
          <w:b w:val="0"/>
          <w:bCs w:val="0"/>
          <w:color w:val="auto"/>
          <w:sz w:val="32"/>
          <w:szCs w:val="32"/>
          <w:highlight w:val="none"/>
        </w:rPr>
        <w:t>问卷调查法等方式，根据绩效评价方案确定的指标体系及评分标准，对“</w:t>
      </w:r>
      <w:r>
        <w:rPr>
          <w:rFonts w:hint="default" w:ascii="方正仿宋_GBK" w:hAnsi="方正仿宋_GBK" w:eastAsia="方正仿宋_GBK" w:cs="方正仿宋_GBK"/>
          <w:b w:val="0"/>
          <w:bCs w:val="0"/>
          <w:color w:val="auto"/>
          <w:sz w:val="32"/>
          <w:szCs w:val="32"/>
          <w:highlight w:val="none"/>
        </w:rPr>
        <w:t>伽师县农技中心2022年第三次全国土壤普查工作项目</w:t>
      </w:r>
      <w:r>
        <w:rPr>
          <w:rFonts w:hint="eastAsia" w:ascii="方正仿宋_GBK" w:hAnsi="方正仿宋_GBK" w:eastAsia="方正仿宋_GBK" w:cs="方正仿宋_GBK"/>
          <w:b w:val="0"/>
          <w:bCs w:val="0"/>
          <w:color w:val="auto"/>
          <w:sz w:val="32"/>
          <w:szCs w:val="32"/>
          <w:highlight w:val="none"/>
        </w:rPr>
        <w:t>”绩效进行客观评价，</w:t>
      </w:r>
      <w:r>
        <w:rPr>
          <w:rFonts w:hint="eastAsia" w:ascii="方正仿宋_GBK" w:hAnsi="方正仿宋_GBK" w:eastAsia="方正仿宋_GBK" w:cs="方正仿宋_GBK"/>
          <w:b w:val="0"/>
          <w:bCs w:val="0"/>
          <w:color w:val="auto"/>
          <w:sz w:val="32"/>
          <w:szCs w:val="32"/>
          <w:highlight w:val="none"/>
          <w:lang w:eastAsia="zh-CN"/>
        </w:rPr>
        <w:t>该项目共设置绩效目标</w:t>
      </w:r>
      <w:r>
        <w:rPr>
          <w:rFonts w:hint="eastAsia" w:ascii="方正仿宋_GBK" w:hAnsi="方正仿宋_GBK" w:eastAsia="方正仿宋_GBK" w:cs="方正仿宋_GBK"/>
          <w:b w:val="0"/>
          <w:bCs w:val="0"/>
          <w:color w:val="auto"/>
          <w:sz w:val="32"/>
          <w:szCs w:val="32"/>
          <w:highlight w:val="none"/>
          <w:lang w:val="en-US" w:eastAsia="zh-CN"/>
        </w:rPr>
        <w:t>25个，实现目标25个，完成率100%。项目决策指标共设置6个，满分指标6个，得分率100%；项目过程指标共设置5个，满分指标4个，得分率95%；项目产出指标共设置11个，满分指标11个，得分率100%；项目效益指标共设置3个，满分指标2个，得分率96.4%。该项目组织比较规范，完成情况良好，大部分指标实现了预期目标。</w:t>
      </w:r>
    </w:p>
    <w:p>
      <w:pPr>
        <w:pStyle w:val="37"/>
        <w:keepNext/>
        <w:keepLines/>
        <w:pageBreakBefore w:val="0"/>
        <w:widowControl w:val="0"/>
        <w:kinsoku/>
        <w:wordWrap/>
        <w:overflowPunct/>
        <w:topLinePunct w:val="0"/>
        <w:autoSpaceDE/>
        <w:autoSpaceDN/>
        <w:bidi w:val="0"/>
        <w:adjustRightInd/>
        <w:snapToGrid/>
        <w:spacing w:line="570" w:lineRule="exact"/>
        <w:ind w:left="560"/>
        <w:jc w:val="both"/>
        <w:textAlignment w:val="auto"/>
        <w:rPr>
          <w:rFonts w:hint="eastAsia" w:ascii="方正楷体_GBK" w:hAnsi="方正楷体_GBK" w:eastAsia="方正楷体_GBK" w:cs="方正楷体_GBK"/>
          <w:color w:val="auto"/>
          <w:spacing w:val="6"/>
          <w:kern w:val="0"/>
          <w:sz w:val="32"/>
          <w:szCs w:val="32"/>
          <w:highlight w:val="none"/>
          <w:lang w:val="en-US" w:eastAsia="zh-CN" w:bidi="ar"/>
        </w:rPr>
      </w:pPr>
      <w:bookmarkStart w:id="99" w:name="_Toc17249_WPSOffice_Level2"/>
      <w:r>
        <w:rPr>
          <w:rFonts w:hint="eastAsia" w:ascii="方正楷体_GBK" w:hAnsi="方正楷体_GBK" w:eastAsia="方正楷体_GBK" w:cs="方正楷体_GBK"/>
          <w:color w:val="auto"/>
          <w:spacing w:val="6"/>
          <w:kern w:val="0"/>
          <w:sz w:val="32"/>
          <w:szCs w:val="32"/>
          <w:highlight w:val="none"/>
          <w:lang w:val="en-US" w:eastAsia="zh-CN" w:bidi="ar"/>
        </w:rPr>
        <w:t>（二）综合评价结论</w:t>
      </w:r>
      <w:bookmarkEnd w:id="99"/>
    </w:p>
    <w:p>
      <w:pPr>
        <w:pStyle w:val="35"/>
        <w:pageBreakBefore w:val="0"/>
        <w:kinsoku/>
        <w:wordWrap/>
        <w:topLinePunct w:val="0"/>
        <w:autoSpaceDE/>
        <w:autoSpaceDN/>
        <w:bidi w:val="0"/>
        <w:spacing w:line="570" w:lineRule="exact"/>
        <w:ind w:firstLine="640"/>
        <w:jc w:val="both"/>
        <w:rPr>
          <w:rFonts w:hint="default"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z w:val="32"/>
          <w:szCs w:val="32"/>
          <w:highlight w:val="none"/>
        </w:rPr>
        <w:t>依据《中共中央国务院关于全面实施预算绩效管理的意见》、《项目支出绩效评价管理办法》（财预〔2020〕10号）以及《关于进一步加强和规范喀什地区项目支出“全过程”预算绩效管理结果应用的通知》（喀地财绩〔2022〕2号）文件，绩效评价总分设置为100分，划分为四档：90（含）-100分为“优”、80（含）-90分为“良”、70（含）-80分为“中”、70分以下为“差”。</w:t>
      </w:r>
      <w:r>
        <w:rPr>
          <w:rFonts w:hint="eastAsia" w:ascii="方正仿宋_GBK" w:hAnsi="方正仿宋_GBK" w:eastAsia="方正仿宋_GBK" w:cs="方正仿宋_GBK"/>
          <w:color w:val="auto"/>
          <w:spacing w:val="6"/>
          <w:kern w:val="0"/>
          <w:sz w:val="32"/>
          <w:szCs w:val="32"/>
          <w:highlight w:val="none"/>
          <w:lang w:val="en-US" w:eastAsia="zh-CN" w:bidi="ar"/>
        </w:rPr>
        <w:t>该项目最终评分98.28分，绩效评级为“优”，</w:t>
      </w:r>
      <w:r>
        <w:rPr>
          <w:rFonts w:hint="default" w:ascii="方正仿宋_GBK" w:hAnsi="方正仿宋_GBK" w:eastAsia="方正仿宋_GBK" w:cs="方正仿宋_GBK"/>
          <w:color w:val="auto"/>
          <w:spacing w:val="6"/>
          <w:kern w:val="0"/>
          <w:sz w:val="32"/>
          <w:szCs w:val="32"/>
          <w:highlight w:val="none"/>
          <w:lang w:val="en-US" w:eastAsia="zh-CN" w:bidi="ar"/>
        </w:rPr>
        <w:t>各部分得分情况详见表3-1。评分过程详见附件</w:t>
      </w:r>
      <w:r>
        <w:rPr>
          <w:rFonts w:hint="eastAsia" w:ascii="方正仿宋_GBK" w:hAnsi="方正仿宋_GBK" w:eastAsia="方正仿宋_GBK" w:cs="方正仿宋_GBK"/>
          <w:color w:val="auto"/>
          <w:spacing w:val="6"/>
          <w:kern w:val="0"/>
          <w:sz w:val="32"/>
          <w:szCs w:val="32"/>
          <w:highlight w:val="none"/>
          <w:lang w:val="en-US" w:eastAsia="zh-CN" w:bidi="ar"/>
        </w:rPr>
        <w:t>2</w:t>
      </w:r>
      <w:r>
        <w:rPr>
          <w:rFonts w:hint="default" w:ascii="方正仿宋_GBK" w:hAnsi="方正仿宋_GBK" w:eastAsia="方正仿宋_GBK" w:cs="方正仿宋_GBK"/>
          <w:color w:val="auto"/>
          <w:spacing w:val="6"/>
          <w:kern w:val="0"/>
          <w:sz w:val="32"/>
          <w:szCs w:val="32"/>
          <w:highlight w:val="none"/>
          <w:lang w:val="en-US" w:eastAsia="zh-CN" w:bidi="ar"/>
        </w:rPr>
        <w:t>。</w:t>
      </w:r>
    </w:p>
    <w:p>
      <w:pPr>
        <w:pStyle w:val="31"/>
        <w:keepNext w:val="0"/>
        <w:keepLines w:val="0"/>
        <w:pageBreakBefore w:val="0"/>
        <w:widowControl/>
        <w:kinsoku/>
        <w:wordWrap/>
        <w:overflowPunct/>
        <w:topLinePunct w:val="0"/>
        <w:autoSpaceDE/>
        <w:autoSpaceDN/>
        <w:bidi w:val="0"/>
        <w:adjustRightInd/>
        <w:snapToGrid/>
        <w:spacing w:line="570" w:lineRule="exact"/>
        <w:ind w:left="0" w:leftChars="0" w:firstLine="0" w:firstLineChars="0"/>
        <w:jc w:val="center"/>
        <w:textAlignment w:val="auto"/>
        <w:rPr>
          <w:rFonts w:hint="default" w:ascii="Times New Roman" w:hAnsi="Times New Roman" w:cs="Times New Roman"/>
          <w:b/>
          <w:color w:val="auto"/>
          <w:sz w:val="28"/>
          <w:szCs w:val="36"/>
          <w:highlight w:val="none"/>
        </w:rPr>
      </w:pPr>
      <w:r>
        <w:rPr>
          <w:rFonts w:hint="default" w:ascii="Times New Roman" w:hAnsi="Times New Roman" w:cs="Times New Roman"/>
          <w:b/>
          <w:color w:val="auto"/>
          <w:sz w:val="28"/>
          <w:szCs w:val="36"/>
          <w:highlight w:val="none"/>
        </w:rPr>
        <w:t>表3-1 项目指标得分情况汇总表</w:t>
      </w:r>
    </w:p>
    <w:tbl>
      <w:tblPr>
        <w:tblStyle w:val="21"/>
        <w:tblW w:w="851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83"/>
        <w:gridCol w:w="2166"/>
        <w:gridCol w:w="1858"/>
        <w:gridCol w:w="20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shd w:val="clear" w:color="000000" w:fill="BEBEBE"/>
            <w:noWrap w:val="0"/>
            <w:vAlign w:val="center"/>
          </w:tcPr>
          <w:p>
            <w:pPr>
              <w:pageBreakBefore w:val="0"/>
              <w:kinsoku/>
              <w:wordWrap/>
              <w:bidi w:val="0"/>
              <w:spacing w:line="570" w:lineRule="exact"/>
              <w:jc w:val="center"/>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一级指标</w:t>
            </w:r>
          </w:p>
        </w:tc>
        <w:tc>
          <w:tcPr>
            <w:tcW w:w="2166" w:type="dxa"/>
            <w:tcBorders>
              <w:top w:val="single" w:color="auto" w:sz="4" w:space="0"/>
              <w:left w:val="nil"/>
              <w:bottom w:val="single" w:color="auto" w:sz="4" w:space="0"/>
              <w:right w:val="single" w:color="auto" w:sz="4" w:space="0"/>
            </w:tcBorders>
            <w:shd w:val="clear" w:color="000000" w:fill="BEBEBE"/>
            <w:noWrap w:val="0"/>
            <w:vAlign w:val="center"/>
          </w:tcPr>
          <w:p>
            <w:pPr>
              <w:pageBreakBefore w:val="0"/>
              <w:kinsoku/>
              <w:wordWrap/>
              <w:bidi w:val="0"/>
              <w:spacing w:line="570" w:lineRule="exact"/>
              <w:jc w:val="center"/>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权重分</w:t>
            </w:r>
          </w:p>
        </w:tc>
        <w:tc>
          <w:tcPr>
            <w:tcW w:w="1858" w:type="dxa"/>
            <w:tcBorders>
              <w:top w:val="single" w:color="auto" w:sz="4" w:space="0"/>
              <w:left w:val="nil"/>
              <w:bottom w:val="single" w:color="auto" w:sz="4" w:space="0"/>
              <w:right w:val="single" w:color="auto" w:sz="4" w:space="0"/>
            </w:tcBorders>
            <w:shd w:val="clear" w:color="000000" w:fill="BEBEBE"/>
            <w:noWrap w:val="0"/>
            <w:vAlign w:val="center"/>
          </w:tcPr>
          <w:p>
            <w:pPr>
              <w:pageBreakBefore w:val="0"/>
              <w:kinsoku/>
              <w:wordWrap/>
              <w:bidi w:val="0"/>
              <w:spacing w:line="570" w:lineRule="exact"/>
              <w:jc w:val="center"/>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得分</w:t>
            </w:r>
          </w:p>
        </w:tc>
        <w:tc>
          <w:tcPr>
            <w:tcW w:w="2012" w:type="dxa"/>
            <w:tcBorders>
              <w:top w:val="single" w:color="auto" w:sz="4" w:space="0"/>
              <w:left w:val="nil"/>
              <w:bottom w:val="single" w:color="auto" w:sz="4" w:space="0"/>
              <w:right w:val="single" w:color="auto" w:sz="4" w:space="0"/>
            </w:tcBorders>
            <w:shd w:val="clear" w:color="000000" w:fill="BEBEBE"/>
            <w:noWrap w:val="0"/>
            <w:vAlign w:val="center"/>
          </w:tcPr>
          <w:p>
            <w:pPr>
              <w:pageBreakBefore w:val="0"/>
              <w:kinsoku/>
              <w:wordWrap/>
              <w:bidi w:val="0"/>
              <w:spacing w:line="570" w:lineRule="exact"/>
              <w:jc w:val="center"/>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2483" w:type="dxa"/>
            <w:tcBorders>
              <w:top w:val="nil"/>
              <w:left w:val="single" w:color="auto" w:sz="4" w:space="0"/>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项目决策</w:t>
            </w:r>
          </w:p>
        </w:tc>
        <w:tc>
          <w:tcPr>
            <w:tcW w:w="2166"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20</w:t>
            </w:r>
          </w:p>
        </w:tc>
        <w:tc>
          <w:tcPr>
            <w:tcW w:w="1858"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20</w:t>
            </w:r>
          </w:p>
        </w:tc>
        <w:tc>
          <w:tcPr>
            <w:tcW w:w="2012"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83" w:type="dxa"/>
            <w:tcBorders>
              <w:top w:val="nil"/>
              <w:left w:val="single" w:color="auto" w:sz="4" w:space="0"/>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highlight w:val="none"/>
              </w:rPr>
              <w:t>项目</w:t>
            </w:r>
            <w:r>
              <w:rPr>
                <w:rFonts w:hint="eastAsia" w:ascii="方正仿宋_GBK" w:hAnsi="方正仿宋_GBK" w:eastAsia="方正仿宋_GBK" w:cs="方正仿宋_GBK"/>
                <w:color w:val="auto"/>
                <w:sz w:val="32"/>
                <w:szCs w:val="32"/>
                <w:highlight w:val="none"/>
                <w:lang w:eastAsia="zh-CN"/>
              </w:rPr>
              <w:t>过程</w:t>
            </w:r>
          </w:p>
        </w:tc>
        <w:tc>
          <w:tcPr>
            <w:tcW w:w="2166"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20</w:t>
            </w:r>
          </w:p>
        </w:tc>
        <w:tc>
          <w:tcPr>
            <w:tcW w:w="1858"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20</w:t>
            </w:r>
          </w:p>
        </w:tc>
        <w:tc>
          <w:tcPr>
            <w:tcW w:w="2012"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83" w:type="dxa"/>
            <w:tcBorders>
              <w:top w:val="nil"/>
              <w:left w:val="single" w:color="auto" w:sz="4" w:space="0"/>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highlight w:val="none"/>
              </w:rPr>
              <w:t>项目</w:t>
            </w:r>
            <w:r>
              <w:rPr>
                <w:rFonts w:hint="eastAsia" w:ascii="方正仿宋_GBK" w:hAnsi="方正仿宋_GBK" w:eastAsia="方正仿宋_GBK" w:cs="方正仿宋_GBK"/>
                <w:color w:val="auto"/>
                <w:sz w:val="32"/>
                <w:szCs w:val="32"/>
                <w:highlight w:val="none"/>
                <w:lang w:eastAsia="zh-CN"/>
              </w:rPr>
              <w:t>产出</w:t>
            </w:r>
          </w:p>
        </w:tc>
        <w:tc>
          <w:tcPr>
            <w:tcW w:w="2166"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40</w:t>
            </w:r>
          </w:p>
        </w:tc>
        <w:tc>
          <w:tcPr>
            <w:tcW w:w="1858"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40</w:t>
            </w:r>
          </w:p>
        </w:tc>
        <w:tc>
          <w:tcPr>
            <w:tcW w:w="2012"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83" w:type="dxa"/>
            <w:tcBorders>
              <w:top w:val="nil"/>
              <w:left w:val="single" w:color="auto" w:sz="4" w:space="0"/>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highlight w:val="none"/>
                <w:lang w:eastAsia="zh-CN"/>
              </w:rPr>
              <w:t>项目效益</w:t>
            </w:r>
          </w:p>
        </w:tc>
        <w:tc>
          <w:tcPr>
            <w:tcW w:w="2166"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20</w:t>
            </w:r>
          </w:p>
        </w:tc>
        <w:tc>
          <w:tcPr>
            <w:tcW w:w="1858"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19.28</w:t>
            </w:r>
          </w:p>
        </w:tc>
        <w:tc>
          <w:tcPr>
            <w:tcW w:w="2012"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83" w:type="dxa"/>
            <w:tcBorders>
              <w:top w:val="nil"/>
              <w:left w:val="single" w:color="auto" w:sz="4" w:space="0"/>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合计</w:t>
            </w:r>
          </w:p>
        </w:tc>
        <w:tc>
          <w:tcPr>
            <w:tcW w:w="2166"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100</w:t>
            </w:r>
          </w:p>
        </w:tc>
        <w:tc>
          <w:tcPr>
            <w:tcW w:w="1858"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99.28</w:t>
            </w:r>
          </w:p>
        </w:tc>
        <w:tc>
          <w:tcPr>
            <w:tcW w:w="2012" w:type="dxa"/>
            <w:tcBorders>
              <w:top w:val="nil"/>
              <w:left w:val="nil"/>
              <w:bottom w:val="single" w:color="auto" w:sz="4" w:space="0"/>
              <w:right w:val="single" w:color="auto" w:sz="4" w:space="0"/>
            </w:tcBorders>
            <w:noWrap w:val="0"/>
            <w:vAlign w:val="center"/>
          </w:tcPr>
          <w:p>
            <w:pPr>
              <w:pageBreakBefore w:val="0"/>
              <w:kinsoku/>
              <w:wordWrap/>
              <w:bidi w:val="0"/>
              <w:spacing w:line="570" w:lineRule="exact"/>
              <w:jc w:val="center"/>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99.28%</w:t>
            </w:r>
          </w:p>
        </w:tc>
      </w:tr>
    </w:tbl>
    <w:p>
      <w:pPr>
        <w:pStyle w:val="32"/>
        <w:keepNext w:val="0"/>
        <w:keepLines w:val="0"/>
        <w:pageBreakBefore w:val="0"/>
        <w:widowControl w:val="0"/>
        <w:kinsoku/>
        <w:wordWrap/>
        <w:overflowPunct/>
        <w:topLinePunct w:val="0"/>
        <w:autoSpaceDE/>
        <w:autoSpaceDN/>
        <w:bidi w:val="0"/>
        <w:adjustRightInd/>
        <w:snapToGrid w:val="0"/>
        <w:spacing w:line="570" w:lineRule="exact"/>
        <w:jc w:val="both"/>
        <w:textAlignment w:val="auto"/>
        <w:outlineLvl w:val="0"/>
        <w:rPr>
          <w:rFonts w:hint="eastAsia" w:ascii="方正黑体_GBK" w:hAnsi="方正黑体_GBK" w:eastAsia="方正黑体_GBK" w:cs="方正黑体_GBK"/>
          <w:b w:val="0"/>
          <w:bCs/>
          <w:color w:val="auto"/>
          <w:kern w:val="0"/>
          <w:sz w:val="32"/>
          <w:szCs w:val="32"/>
          <w:highlight w:val="none"/>
        </w:rPr>
      </w:pPr>
      <w:bookmarkStart w:id="100" w:name="_Toc31469"/>
      <w:bookmarkStart w:id="101" w:name="_Toc30620"/>
      <w:bookmarkStart w:id="102" w:name="_Toc7522_WPSOffice_Level1"/>
      <w:r>
        <w:rPr>
          <w:rFonts w:hint="eastAsia" w:ascii="方正黑体_GBK" w:hAnsi="方正黑体_GBK" w:eastAsia="方正黑体_GBK" w:cs="方正黑体_GBK"/>
          <w:b w:val="0"/>
          <w:bCs/>
          <w:color w:val="auto"/>
          <w:kern w:val="0"/>
          <w:sz w:val="32"/>
          <w:szCs w:val="32"/>
          <w:highlight w:val="none"/>
        </w:rPr>
        <w:t>四、</w:t>
      </w:r>
      <w:bookmarkEnd w:id="100"/>
      <w:bookmarkEnd w:id="101"/>
      <w:r>
        <w:rPr>
          <w:rFonts w:hint="eastAsia" w:ascii="方正黑体_GBK" w:hAnsi="方正黑体_GBK" w:eastAsia="方正黑体_GBK" w:cs="方正黑体_GBK"/>
          <w:b w:val="0"/>
          <w:bCs/>
          <w:color w:val="auto"/>
          <w:kern w:val="0"/>
          <w:sz w:val="32"/>
          <w:szCs w:val="32"/>
          <w:highlight w:val="none"/>
        </w:rPr>
        <w:t>绩效评价指标分析</w:t>
      </w:r>
      <w:bookmarkEnd w:id="102"/>
    </w:p>
    <w:p>
      <w:pPr>
        <w:pStyle w:val="31"/>
        <w:keepNext w:val="0"/>
        <w:keepLines w:val="0"/>
        <w:pageBreakBefore w:val="0"/>
        <w:widowControl w:val="0"/>
        <w:kinsoku/>
        <w:wordWrap/>
        <w:overflowPunct/>
        <w:topLinePunct w:val="0"/>
        <w:autoSpaceDE/>
        <w:autoSpaceDN/>
        <w:bidi w:val="0"/>
        <w:adjustRightInd/>
        <w:snapToGrid/>
        <w:spacing w:line="570" w:lineRule="exact"/>
        <w:ind w:left="0" w:leftChars="0" w:firstLine="643" w:firstLineChars="200"/>
        <w:jc w:val="both"/>
        <w:textAlignment w:val="auto"/>
        <w:outlineLvl w:val="1"/>
        <w:rPr>
          <w:rFonts w:hint="default" w:ascii="Times New Roman" w:hAnsi="Times New Roman" w:eastAsia="楷体" w:cs="Times New Roman"/>
          <w:b/>
          <w:color w:val="auto"/>
          <w:kern w:val="0"/>
          <w:sz w:val="32"/>
          <w:szCs w:val="32"/>
          <w:highlight w:val="none"/>
        </w:rPr>
      </w:pPr>
      <w:bookmarkStart w:id="103" w:name="_Toc31548_WPSOffice_Level2"/>
      <w:bookmarkStart w:id="104" w:name="_Toc15933"/>
      <w:bookmarkStart w:id="105" w:name="_Toc14218"/>
      <w:bookmarkStart w:id="106" w:name="_Toc17981"/>
      <w:r>
        <w:rPr>
          <w:rFonts w:hint="default" w:ascii="Times New Roman" w:hAnsi="Times New Roman" w:eastAsia="楷体" w:cs="Times New Roman"/>
          <w:b/>
          <w:color w:val="auto"/>
          <w:kern w:val="0"/>
          <w:sz w:val="32"/>
          <w:szCs w:val="32"/>
          <w:highlight w:val="none"/>
        </w:rPr>
        <w:t>（一）项目决策情况</w:t>
      </w:r>
      <w:bookmarkEnd w:id="103"/>
    </w:p>
    <w:bookmarkEnd w:id="104"/>
    <w:p>
      <w:pPr>
        <w:pageBreakBefore w:val="0"/>
        <w:kinsoku/>
        <w:wordWrap/>
        <w:overflowPunct w:val="0"/>
        <w:topLinePunct w:val="0"/>
        <w:autoSpaceDE/>
        <w:autoSpaceDN/>
        <w:bidi w:val="0"/>
        <w:spacing w:line="570" w:lineRule="exact"/>
        <w:ind w:firstLine="640"/>
        <w:contextualSpacing/>
        <w:jc w:val="both"/>
        <w:rPr>
          <w:rFonts w:hint="eastAsia" w:ascii="方正仿宋_GBK" w:hAnsi="方正仿宋_GBK" w:eastAsia="方正仿宋_GBK" w:cs="方正仿宋_GBK"/>
          <w:color w:val="auto"/>
          <w:kern w:val="0"/>
          <w:sz w:val="32"/>
          <w:szCs w:val="32"/>
          <w:highlight w:val="none"/>
          <w:lang w:val="en-US" w:eastAsia="zh-CN" w:bidi="ar"/>
        </w:rPr>
      </w:pPr>
      <w:bookmarkStart w:id="107" w:name="_Toc18744"/>
      <w:r>
        <w:rPr>
          <w:rFonts w:hint="eastAsia" w:ascii="方正仿宋_GBK" w:hAnsi="方正仿宋_GBK" w:eastAsia="方正仿宋_GBK" w:cs="方正仿宋_GBK"/>
          <w:color w:val="auto"/>
          <w:kern w:val="0"/>
          <w:sz w:val="32"/>
          <w:szCs w:val="32"/>
          <w:highlight w:val="none"/>
          <w:lang w:val="en-US" w:eastAsia="zh-CN" w:bidi="ar"/>
        </w:rPr>
        <w:t>项目决策类指标包括项目立项、绩效目标和资金投入三方面的内容，由6个三级指标构成，权重分为20分，实际得分20分，得分率为100%。</w:t>
      </w:r>
    </w:p>
    <w:p>
      <w:pPr>
        <w:pageBreakBefore w:val="0"/>
        <w:kinsoku/>
        <w:wordWrap/>
        <w:overflowPunct w:val="0"/>
        <w:topLinePunct w:val="0"/>
        <w:autoSpaceDE/>
        <w:bidi w:val="0"/>
        <w:spacing w:line="570" w:lineRule="exact"/>
        <w:contextualSpacing/>
        <w:jc w:val="center"/>
        <w:rPr>
          <w:rFonts w:hint="eastAsia" w:ascii="方正仿宋_GBK" w:hAnsi="方正仿宋_GBK" w:eastAsia="方正仿宋_GBK" w:cs="方正仿宋_GBK"/>
          <w:b/>
          <w:bCs/>
          <w:color w:val="auto"/>
          <w:sz w:val="32"/>
          <w:szCs w:val="32"/>
          <w:highlight w:val="none"/>
          <w:lang w:eastAsia="zh-CN"/>
        </w:rPr>
      </w:pPr>
      <w:r>
        <w:rPr>
          <w:rFonts w:hint="eastAsia" w:ascii="方正仿宋_GBK" w:hAnsi="方正仿宋_GBK" w:eastAsia="方正仿宋_GBK" w:cs="方正仿宋_GBK"/>
          <w:b/>
          <w:bCs/>
          <w:color w:val="auto"/>
          <w:sz w:val="32"/>
          <w:szCs w:val="32"/>
          <w:highlight w:val="none"/>
          <w:lang w:eastAsia="zh-CN"/>
        </w:rPr>
        <w:t>表4-1：项目决策类指标及分值</w:t>
      </w:r>
    </w:p>
    <w:tbl>
      <w:tblPr>
        <w:tblStyle w:val="21"/>
        <w:tblW w:w="91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64"/>
        <w:gridCol w:w="1104"/>
        <w:gridCol w:w="2523"/>
        <w:gridCol w:w="1227"/>
        <w:gridCol w:w="1105"/>
        <w:gridCol w:w="613"/>
        <w:gridCol w:w="723"/>
        <w:gridCol w:w="8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96" w:hRule="atLeast"/>
        </w:trPr>
        <w:tc>
          <w:tcPr>
            <w:tcW w:w="964"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一级指标</w:t>
            </w:r>
          </w:p>
        </w:tc>
        <w:tc>
          <w:tcPr>
            <w:tcW w:w="1104"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二级指标</w:t>
            </w:r>
          </w:p>
        </w:tc>
        <w:tc>
          <w:tcPr>
            <w:tcW w:w="2523"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三级指标</w:t>
            </w:r>
          </w:p>
        </w:tc>
        <w:tc>
          <w:tcPr>
            <w:tcW w:w="1227"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标杆值</w:t>
            </w:r>
          </w:p>
        </w:tc>
        <w:tc>
          <w:tcPr>
            <w:tcW w:w="1105"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业绩值</w:t>
            </w:r>
          </w:p>
        </w:tc>
        <w:tc>
          <w:tcPr>
            <w:tcW w:w="613"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权重</w:t>
            </w:r>
          </w:p>
        </w:tc>
        <w:tc>
          <w:tcPr>
            <w:tcW w:w="723"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实际得分</w:t>
            </w:r>
          </w:p>
        </w:tc>
        <w:tc>
          <w:tcPr>
            <w:tcW w:w="886"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atLeast"/>
        </w:trPr>
        <w:tc>
          <w:tcPr>
            <w:tcW w:w="964" w:type="dxa"/>
            <w:vMerge w:val="restar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A项目决策（20）</w:t>
            </w:r>
          </w:p>
        </w:tc>
        <w:tc>
          <w:tcPr>
            <w:tcW w:w="110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A1项目立项（10）</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A101立项依据充分性</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充分</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充分</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atLeast"/>
        </w:trPr>
        <w:tc>
          <w:tcPr>
            <w:tcW w:w="964"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b/>
                <w:i w:val="0"/>
                <w:color w:val="000000"/>
                <w:sz w:val="22"/>
                <w:szCs w:val="22"/>
                <w:highlight w:val="none"/>
                <w:u w:val="none"/>
              </w:rPr>
            </w:pP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b/>
                <w:i w:val="0"/>
                <w:color w:val="000000"/>
                <w:sz w:val="22"/>
                <w:szCs w:val="22"/>
                <w:highlight w:val="none"/>
                <w:u w:val="none"/>
              </w:rPr>
            </w:pP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A102立项程序规范性</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规范</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规范</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atLeast"/>
        </w:trPr>
        <w:tc>
          <w:tcPr>
            <w:tcW w:w="964"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b/>
                <w:i w:val="0"/>
                <w:color w:val="000000"/>
                <w:sz w:val="22"/>
                <w:szCs w:val="22"/>
                <w:highlight w:val="none"/>
                <w:u w:val="none"/>
              </w:rPr>
            </w:pPr>
          </w:p>
        </w:tc>
        <w:tc>
          <w:tcPr>
            <w:tcW w:w="110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A2绩效目标（5）</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A201绩效目标合理性</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合理</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合理</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6" w:hRule="atLeast"/>
        </w:trPr>
        <w:tc>
          <w:tcPr>
            <w:tcW w:w="964"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b/>
                <w:i w:val="0"/>
                <w:color w:val="000000"/>
                <w:sz w:val="22"/>
                <w:szCs w:val="22"/>
                <w:highlight w:val="none"/>
                <w:u w:val="none"/>
              </w:rPr>
            </w:pP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b/>
                <w:i w:val="0"/>
                <w:color w:val="000000"/>
                <w:sz w:val="22"/>
                <w:szCs w:val="22"/>
                <w:highlight w:val="none"/>
                <w:u w:val="none"/>
              </w:rPr>
            </w:pP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A202绩效指标明确性</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明确</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明确</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3</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3</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atLeast"/>
        </w:trPr>
        <w:tc>
          <w:tcPr>
            <w:tcW w:w="964"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b/>
                <w:i w:val="0"/>
                <w:color w:val="000000"/>
                <w:sz w:val="22"/>
                <w:szCs w:val="22"/>
                <w:highlight w:val="none"/>
                <w:u w:val="none"/>
              </w:rPr>
            </w:pPr>
          </w:p>
        </w:tc>
        <w:tc>
          <w:tcPr>
            <w:tcW w:w="1104" w:type="dxa"/>
            <w:vMerge w:val="restar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A3资金投入（5）</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A301预算编制科学性</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科学</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科学</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6" w:hRule="atLeast"/>
        </w:trPr>
        <w:tc>
          <w:tcPr>
            <w:tcW w:w="964"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b/>
                <w:i w:val="0"/>
                <w:color w:val="000000"/>
                <w:sz w:val="22"/>
                <w:szCs w:val="22"/>
                <w:highlight w:val="none"/>
                <w:u w:val="none"/>
              </w:rPr>
            </w:pPr>
          </w:p>
        </w:tc>
        <w:tc>
          <w:tcPr>
            <w:tcW w:w="1104"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b/>
                <w:i w:val="0"/>
                <w:color w:val="000000"/>
                <w:sz w:val="22"/>
                <w:szCs w:val="22"/>
                <w:highlight w:val="none"/>
                <w:u w:val="none"/>
              </w:rPr>
            </w:pPr>
          </w:p>
        </w:tc>
        <w:tc>
          <w:tcPr>
            <w:tcW w:w="252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A302资金分配合理性</w:t>
            </w:r>
          </w:p>
        </w:tc>
        <w:tc>
          <w:tcPr>
            <w:tcW w:w="1227"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合理</w:t>
            </w:r>
          </w:p>
        </w:tc>
        <w:tc>
          <w:tcPr>
            <w:tcW w:w="1105"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合理</w:t>
            </w:r>
          </w:p>
        </w:tc>
        <w:tc>
          <w:tcPr>
            <w:tcW w:w="613"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3</w:t>
            </w:r>
          </w:p>
        </w:tc>
        <w:tc>
          <w:tcPr>
            <w:tcW w:w="723"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3</w:t>
            </w:r>
          </w:p>
        </w:tc>
        <w:tc>
          <w:tcPr>
            <w:tcW w:w="886"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95" w:hRule="atLeast"/>
        </w:trPr>
        <w:tc>
          <w:tcPr>
            <w:tcW w:w="459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b/>
                <w:i w:val="0"/>
                <w:color w:val="000000"/>
                <w:sz w:val="22"/>
                <w:szCs w:val="22"/>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b/>
                <w:i w:val="0"/>
                <w:color w:val="000000"/>
                <w:sz w:val="22"/>
                <w:szCs w:val="22"/>
                <w:highlight w:val="none"/>
                <w:u w:val="none"/>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20</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20</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bl>
    <w:p>
      <w:pPr>
        <w:pStyle w:val="38"/>
        <w:keepNext w:val="0"/>
        <w:keepLines w:val="0"/>
        <w:pageBreakBefore w:val="0"/>
        <w:widowControl w:val="0"/>
        <w:kinsoku/>
        <w:wordWrap/>
        <w:overflowPunct/>
        <w:topLinePunct w:val="0"/>
        <w:autoSpaceDE w:val="0"/>
        <w:autoSpaceDN w:val="0"/>
        <w:bidi w:val="0"/>
        <w:adjustRightInd w:val="0"/>
        <w:snapToGrid/>
        <w:spacing w:line="570" w:lineRule="exact"/>
        <w:ind w:firstLine="643" w:firstLineChars="200"/>
        <w:jc w:val="both"/>
        <w:textAlignment w:val="auto"/>
        <w:rPr>
          <w:rFonts w:hint="eastAsia" w:ascii="方正仿宋_GBK" w:hAnsi="方正仿宋_GBK" w:eastAsia="方正仿宋_GBK" w:cs="方正仿宋_GBK"/>
          <w:b/>
          <w:bCs/>
          <w:color w:val="auto"/>
          <w:kern w:val="0"/>
          <w:sz w:val="32"/>
          <w:szCs w:val="32"/>
          <w:highlight w:val="none"/>
          <w:lang w:val="en-US" w:eastAsia="zh-CN" w:bidi="ar"/>
        </w:rPr>
      </w:pPr>
      <w:r>
        <w:rPr>
          <w:rFonts w:hint="eastAsia" w:ascii="方正仿宋_GBK" w:hAnsi="方正仿宋_GBK" w:eastAsia="方正仿宋_GBK" w:cs="方正仿宋_GBK"/>
          <w:b/>
          <w:bCs/>
          <w:color w:val="auto"/>
          <w:kern w:val="0"/>
          <w:sz w:val="32"/>
          <w:szCs w:val="32"/>
          <w:highlight w:val="none"/>
          <w:lang w:val="en-US" w:eastAsia="zh-CN" w:bidi="ar"/>
        </w:rPr>
        <w:t>得分指标分析：</w:t>
      </w:r>
    </w:p>
    <w:p>
      <w:pPr>
        <w:pageBreakBefore w:val="0"/>
        <w:numPr>
          <w:ilvl w:val="0"/>
          <w:numId w:val="4"/>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3" w:firstLineChars="200"/>
        <w:jc w:val="both"/>
        <w:rPr>
          <w:rFonts w:hint="eastAsia" w:ascii="方正仿宋_GBK" w:hAnsi="方正仿宋_GBK" w:eastAsia="方正仿宋_GBK" w:cs="方正仿宋_GBK"/>
          <w:b/>
          <w:bCs/>
          <w:color w:val="auto"/>
          <w:kern w:val="0"/>
          <w:sz w:val="32"/>
          <w:szCs w:val="32"/>
          <w:highlight w:val="none"/>
          <w:lang w:val="en-US" w:eastAsia="zh-CN" w:bidi="ar"/>
        </w:rPr>
      </w:pPr>
      <w:r>
        <w:rPr>
          <w:rFonts w:hint="eastAsia" w:ascii="方正仿宋_GBK" w:hAnsi="方正仿宋_GBK" w:eastAsia="方正仿宋_GBK" w:cs="方正仿宋_GBK"/>
          <w:b/>
          <w:bCs/>
          <w:color w:val="auto"/>
          <w:kern w:val="0"/>
          <w:sz w:val="32"/>
          <w:szCs w:val="32"/>
          <w:highlight w:val="none"/>
          <w:lang w:val="en-US" w:eastAsia="zh-CN" w:bidi="ar"/>
        </w:rPr>
        <w:t>A101立项依据充分性</w:t>
      </w:r>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0" w:firstLineChars="200"/>
        <w:jc w:val="both"/>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①根据《新疆维吾尔自治区国民经济和社会发展第十四个五年规划和2025年远景目标纲要》明确提出“农业发展要坚持稳粮、优棉、强果、兴畜、促特色，突出绿色化、优质化、特色化、品牌化，推动农业供给侧结构性改革。发挥区域优势，合理利用土壤资源，提高水土光热等资源利用率”，因此，本项目立项符合国家法律法规。</w:t>
      </w:r>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②《伽师县“十四五”农业农村现代化发展规划》“深入开展土壤污染详查，摸清污染状况，开展土壤污染管控和修复，大力推广测土配方施肥、农药精准科学施用，到2025年，实现化肥、农药、兽药施用‘负增长’”，符合环保行业发展规划和政策要求。</w:t>
      </w:r>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③该项目立项符合《关于印发&lt;伽师县农业技术推广中心机构编制方案&gt;的通知》部门职责范围“组织农业技术的专业培训，组织农业人员下乡讲课，提高农业综合生产能力”属于部门履职所需。</w:t>
      </w:r>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④该项目资金性质为中央专项资金，用于农业生产发展和农村基础设施，属于公共财政支持范围，符合中央、地方事权支出责任划分原则。</w:t>
      </w:r>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⑤经查看，预算管理一体化系统（2.0版）显示，无相关部门同类项目或部门内部相关项目重复事项。</w:t>
      </w:r>
    </w:p>
    <w:p>
      <w:pPr>
        <w:pStyle w:val="31"/>
        <w:keepNext w:val="0"/>
        <w:keepLines w:val="0"/>
        <w:pageBreakBefore w:val="0"/>
        <w:widowControl w:val="0"/>
        <w:numPr>
          <w:ilvl w:val="0"/>
          <w:numId w:val="0"/>
        </w:numPr>
        <w:tabs>
          <w:tab w:val="left" w:pos="599"/>
        </w:tabs>
        <w:kinsoku/>
        <w:wordWrap/>
        <w:overflowPunct/>
        <w:topLinePunct w:val="0"/>
        <w:autoSpaceDE/>
        <w:autoSpaceDN/>
        <w:bidi w:val="0"/>
        <w:adjustRightInd/>
        <w:snapToGrid/>
        <w:spacing w:line="570" w:lineRule="exact"/>
        <w:ind w:leftChars="200" w:firstLine="320" w:firstLineChars="100"/>
        <w:jc w:val="both"/>
        <w:textAlignment w:val="auto"/>
        <w:outlineLvl w:val="1"/>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该项指标满分为5分，根据评分标准得5分。</w:t>
      </w:r>
    </w:p>
    <w:p>
      <w:pPr>
        <w:pStyle w:val="31"/>
        <w:keepNext w:val="0"/>
        <w:keepLines w:val="0"/>
        <w:pageBreakBefore w:val="0"/>
        <w:widowControl w:val="0"/>
        <w:numPr>
          <w:ilvl w:val="0"/>
          <w:numId w:val="0"/>
        </w:numPr>
        <w:tabs>
          <w:tab w:val="left" w:pos="599"/>
        </w:tabs>
        <w:kinsoku/>
        <w:wordWrap/>
        <w:overflowPunct/>
        <w:topLinePunct w:val="0"/>
        <w:autoSpaceDE/>
        <w:autoSpaceDN/>
        <w:bidi w:val="0"/>
        <w:adjustRightInd/>
        <w:snapToGrid/>
        <w:spacing w:line="570" w:lineRule="exact"/>
        <w:ind w:firstLine="643" w:firstLineChars="200"/>
        <w:jc w:val="both"/>
        <w:textAlignment w:val="auto"/>
        <w:outlineLvl w:val="1"/>
        <w:rPr>
          <w:rFonts w:hint="eastAsia" w:ascii="方正仿宋_GBK" w:hAnsi="方正仿宋_GBK" w:eastAsia="方正仿宋_GBK" w:cs="方正仿宋_GBK"/>
          <w:b/>
          <w:bCs/>
          <w:color w:val="auto"/>
          <w:kern w:val="0"/>
          <w:sz w:val="32"/>
          <w:szCs w:val="32"/>
          <w:highlight w:val="none"/>
          <w:lang w:val="en-US" w:eastAsia="zh-CN" w:bidi="ar"/>
        </w:rPr>
      </w:pPr>
      <w:r>
        <w:rPr>
          <w:rFonts w:hint="eastAsia" w:ascii="方正仿宋_GBK" w:hAnsi="方正仿宋_GBK" w:eastAsia="方正仿宋_GBK" w:cs="方正仿宋_GBK"/>
          <w:b/>
          <w:bCs/>
          <w:color w:val="auto"/>
          <w:kern w:val="0"/>
          <w:sz w:val="32"/>
          <w:szCs w:val="32"/>
          <w:highlight w:val="none"/>
          <w:lang w:val="en-US" w:eastAsia="zh-CN" w:bidi="ar"/>
        </w:rPr>
        <w:t>（2）A102立项程序规范性：</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①该项目由伽师县农技推广中心编制《</w:t>
      </w:r>
      <w:r>
        <w:rPr>
          <w:rFonts w:hint="eastAsia" w:ascii="方正仿宋_GBK" w:hAnsi="方正仿宋_GBK" w:eastAsia="方正仿宋_GBK" w:cs="方正仿宋_GBK"/>
          <w:color w:val="auto"/>
          <w:kern w:val="0"/>
          <w:sz w:val="32"/>
          <w:szCs w:val="32"/>
          <w:highlight w:val="none"/>
          <w:lang w:val="en-US" w:eastAsia="zh-CN" w:bidi="ar"/>
        </w:rPr>
        <w:t>伽师县第三次全国土壤普查工作项目实施方案</w:t>
      </w:r>
      <w:r>
        <w:rPr>
          <w:rFonts w:hint="eastAsia" w:ascii="方正仿宋_GBK" w:hAnsi="方正仿宋_GBK" w:eastAsia="方正仿宋_GBK" w:cs="方正仿宋_GBK"/>
          <w:b w:val="0"/>
          <w:bCs w:val="0"/>
          <w:color w:val="auto"/>
          <w:kern w:val="0"/>
          <w:sz w:val="32"/>
          <w:szCs w:val="32"/>
          <w:highlight w:val="none"/>
          <w:lang w:val="en-US" w:eastAsia="zh-CN" w:bidi="ar"/>
        </w:rPr>
        <w:t>》，严格按照规定程序设立。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②经查看，《政府采购审批表》、采购合同、会议纪要符合相关要求。</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③经查证，该项目事前经过必要的集体决策。</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该项指标满分为5分，根据评分标准得5分。</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200" w:firstLine="321" w:firstLineChars="100"/>
        <w:jc w:val="both"/>
        <w:textAlignment w:val="auto"/>
        <w:outlineLvl w:val="1"/>
        <w:rPr>
          <w:rFonts w:hint="eastAsia" w:ascii="方正仿宋_GBK" w:hAnsi="方正仿宋_GBK" w:eastAsia="方正仿宋_GBK" w:cs="方正仿宋_GBK"/>
          <w:b/>
          <w:bCs/>
          <w:color w:val="auto"/>
          <w:kern w:val="0"/>
          <w:sz w:val="32"/>
          <w:szCs w:val="32"/>
          <w:highlight w:val="none"/>
          <w:lang w:val="en-US" w:eastAsia="zh-CN" w:bidi="ar"/>
        </w:rPr>
      </w:pPr>
      <w:r>
        <w:rPr>
          <w:rFonts w:hint="eastAsia" w:ascii="方正仿宋_GBK" w:hAnsi="方正仿宋_GBK" w:eastAsia="方正仿宋_GBK" w:cs="方正仿宋_GBK"/>
          <w:b/>
          <w:bCs/>
          <w:color w:val="auto"/>
          <w:kern w:val="0"/>
          <w:sz w:val="32"/>
          <w:szCs w:val="32"/>
          <w:highlight w:val="none"/>
          <w:lang w:val="en-US" w:eastAsia="zh-CN" w:bidi="ar"/>
        </w:rPr>
        <w:t>（3）A201项目目标合理性：</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outlineLvl w:val="1"/>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经检查，项目实施单位提供的《绩效目标（自评）申报表》，得出如下结论：</w:t>
      </w:r>
    </w:p>
    <w:p>
      <w:pPr>
        <w:pageBreakBefore w:val="0"/>
        <w:kinsoku/>
        <w:wordWrap/>
        <w:autoSpaceDE/>
        <w:autoSpaceDN/>
        <w:bidi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sz w:val="32"/>
          <w:szCs w:val="32"/>
          <w:highlight w:val="none"/>
          <w:lang w:val="en-US" w:eastAsia="zh-CN"/>
        </w:rPr>
        <w:t>①</w:t>
      </w:r>
      <w:r>
        <w:rPr>
          <w:rFonts w:hint="eastAsia" w:ascii="方正仿宋_GBK" w:hAnsi="方正仿宋_GBK" w:eastAsia="方正仿宋_GBK" w:cs="方正仿宋_GBK"/>
          <w:b w:val="0"/>
          <w:bCs w:val="0"/>
          <w:color w:val="auto"/>
          <w:kern w:val="0"/>
          <w:sz w:val="32"/>
          <w:szCs w:val="32"/>
          <w:highlight w:val="none"/>
          <w:lang w:val="en-US" w:eastAsia="zh-CN" w:bidi="ar"/>
        </w:rPr>
        <w:t>项目严格按照《2022年自治区分行业分领域绩效指标体</w:t>
      </w:r>
      <w:r>
        <w:rPr>
          <w:rFonts w:hint="eastAsia" w:ascii="方正仿宋_GBK" w:hAnsi="方正仿宋_GBK" w:eastAsia="方正仿宋_GBK" w:cs="方正仿宋_GBK"/>
          <w:color w:val="auto"/>
          <w:kern w:val="0"/>
          <w:sz w:val="32"/>
          <w:szCs w:val="32"/>
          <w:highlight w:val="none"/>
          <w:lang w:val="en-US" w:eastAsia="zh-CN" w:bidi="ar"/>
        </w:rPr>
        <w:t>系》、《伽师县第三次全国土壤普查工作项目实施方案》，设置了《项目支出绩效目标表》。</w:t>
      </w:r>
    </w:p>
    <w:p>
      <w:pPr>
        <w:pageBreakBefore w:val="0"/>
        <w:kinsoku/>
        <w:wordWrap/>
        <w:autoSpaceDE/>
        <w:autoSpaceDN/>
        <w:bidi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sz w:val="32"/>
          <w:szCs w:val="32"/>
          <w:highlight w:val="none"/>
          <w:lang w:val="en-US" w:eastAsia="zh-CN"/>
        </w:rPr>
        <w:t>②该项目实际工作内容为“土壤样品检测、购置取土壤样品、购买土壤样品的工具”</w:t>
      </w:r>
      <w:r>
        <w:rPr>
          <w:rFonts w:hint="eastAsia" w:ascii="方正仿宋_GBK" w:hAnsi="方正仿宋_GBK" w:eastAsia="方正仿宋_GBK" w:cs="方正仿宋_GBK"/>
          <w:color w:val="auto"/>
          <w:kern w:val="0"/>
          <w:sz w:val="32"/>
          <w:szCs w:val="32"/>
          <w:highlight w:val="none"/>
          <w:lang w:val="en-US" w:eastAsia="zh-CN" w:bidi="ar"/>
        </w:rPr>
        <w:t>项目绩效目标与实际工作内容具有相关性。</w:t>
      </w:r>
    </w:p>
    <w:p>
      <w:pPr>
        <w:pageBreakBefore w:val="0"/>
        <w:kinsoku/>
        <w:wordWrap/>
        <w:autoSpaceDE/>
        <w:autoSpaceDN/>
        <w:bidi w:val="0"/>
        <w:spacing w:line="570" w:lineRule="exact"/>
        <w:ind w:firstLine="640" w:firstLineChars="200"/>
        <w:jc w:val="both"/>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③该项目已按照绩效目标完成数量指标、质量指标、时效指标、成本指标，项目达到预期社会效益、可持续影响，提升土壤资源保护和利用水平，推进农业高质量发展，预期产出效益和效果符合正常的业绩水平。</w:t>
      </w:r>
    </w:p>
    <w:p>
      <w:pPr>
        <w:pageBreakBefore w:val="0"/>
        <w:kinsoku/>
        <w:wordWrap/>
        <w:autoSpaceDE/>
        <w:autoSpaceDN/>
        <w:bidi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④根据《关于下达2022年中央农业资源及生态保护补助（统筹整合部分）》〔2022〕12号文件：该项预算确定金额119.88万元、根据项目实施单位提供的《绩效目标（自评）申报表》显示：该项目预算资金119.88万元，预算确定的项目资金与绩效目标编制预算金额相匹配。</w:t>
      </w:r>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该项指标满分为2分，根据评分标准得2分</w:t>
      </w:r>
      <w:r>
        <w:rPr>
          <w:rFonts w:hint="eastAsia" w:ascii="方正仿宋_GBK" w:hAnsi="方正仿宋_GBK" w:eastAsia="方正仿宋_GBK" w:cs="方正仿宋_GBK"/>
          <w:color w:val="auto"/>
          <w:kern w:val="0"/>
          <w:sz w:val="32"/>
          <w:szCs w:val="32"/>
          <w:highlight w:val="none"/>
          <w:lang w:val="en-US" w:eastAsia="zh-CN" w:bidi="ar"/>
        </w:rPr>
        <w:t>。</w:t>
      </w:r>
    </w:p>
    <w:p>
      <w:pPr>
        <w:pageBreakBefore w:val="0"/>
        <w:numPr>
          <w:ilvl w:val="0"/>
          <w:numId w:val="5"/>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3" w:firstLineChars="200"/>
        <w:jc w:val="both"/>
        <w:rPr>
          <w:rFonts w:hint="eastAsia" w:ascii="方正仿宋_GBK" w:hAnsi="方正仿宋_GBK" w:eastAsia="方正仿宋_GBK" w:cs="方正仿宋_GBK"/>
          <w:b/>
          <w:bCs/>
          <w:color w:val="auto"/>
          <w:sz w:val="32"/>
          <w:szCs w:val="32"/>
          <w:highlight w:val="none"/>
          <w:lang w:eastAsia="zh-CN"/>
        </w:rPr>
      </w:pPr>
      <w:r>
        <w:rPr>
          <w:rFonts w:hint="eastAsia" w:ascii="方正仿宋_GBK" w:hAnsi="方正仿宋_GBK" w:eastAsia="方正仿宋_GBK" w:cs="方正仿宋_GBK"/>
          <w:b/>
          <w:bCs/>
          <w:color w:val="auto"/>
          <w:sz w:val="32"/>
          <w:szCs w:val="32"/>
          <w:highlight w:val="none"/>
          <w:lang w:val="en-US" w:eastAsia="zh-CN"/>
        </w:rPr>
        <w:t>A202</w:t>
      </w:r>
      <w:r>
        <w:rPr>
          <w:rFonts w:hint="eastAsia" w:ascii="方正仿宋_GBK" w:hAnsi="方正仿宋_GBK" w:eastAsia="方正仿宋_GBK" w:cs="方正仿宋_GBK"/>
          <w:b/>
          <w:bCs/>
          <w:color w:val="auto"/>
          <w:sz w:val="32"/>
          <w:szCs w:val="32"/>
          <w:highlight w:val="none"/>
        </w:rPr>
        <w:t>绩效指标明确性</w:t>
      </w:r>
      <w:r>
        <w:rPr>
          <w:rFonts w:hint="eastAsia" w:ascii="方正仿宋_GBK" w:hAnsi="方正仿宋_GBK" w:eastAsia="方正仿宋_GBK" w:cs="方正仿宋_GBK"/>
          <w:b/>
          <w:bCs/>
          <w:color w:val="auto"/>
          <w:sz w:val="32"/>
          <w:szCs w:val="32"/>
          <w:highlight w:val="none"/>
          <w:lang w:eastAsia="zh-CN"/>
        </w:rPr>
        <w:t>：</w:t>
      </w:r>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经检查项目单位提供的《绩效目标（自评）申报表》，得出如下结论：</w:t>
      </w:r>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0" w:firstLineChars="200"/>
        <w:jc w:val="both"/>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①该项目已将年度绩效目标进行细化为绩效指标体系，共设置一级指标3个，二级指标7个，三级指标14个。</w:t>
      </w:r>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0" w:firstLineChars="200"/>
        <w:jc w:val="both"/>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②绩效目标和指标具备明确性，该项目共设置三级指标14个，其中：定量指标11个，定性指标3个，指标量化率为78.57%，目标指向明确，指标设置具有可衡量性，项目预期产出和效果符合正常的业绩水平，项目具有可实现性，绩效目标与预算相关联，项目有明确的目标实现时间，且所设置、社会效益指标及可持续影响指标均为具体项目实施后的带来的效益，核心指标值均为数值型且符合客观实际，具有可衡量性和可实现性。</w:t>
      </w:r>
    </w:p>
    <w:p>
      <w:pPr>
        <w:pageBreakBefore w:val="0"/>
        <w:kinsoku/>
        <w:wordWrap/>
        <w:topLinePunct w:val="0"/>
        <w:autoSpaceDE/>
        <w:bidi w:val="0"/>
        <w:spacing w:line="570" w:lineRule="exact"/>
        <w:ind w:left="638" w:leftChars="266" w:firstLine="0" w:firstLineChars="0"/>
        <w:jc w:val="both"/>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③经查证，验收单，项目目标任务数与实施内容一致。该项指标满分为3分，根据评分标准得3分。</w:t>
      </w:r>
    </w:p>
    <w:p>
      <w:pPr>
        <w:pageBreakBefore w:val="0"/>
        <w:numPr>
          <w:ilvl w:val="0"/>
          <w:numId w:val="0"/>
        </w:numPr>
        <w:kinsoku/>
        <w:wordWrap/>
        <w:topLinePunct w:val="0"/>
        <w:autoSpaceDE/>
        <w:bidi w:val="0"/>
        <w:spacing w:line="570" w:lineRule="exact"/>
        <w:ind w:firstLine="643" w:firstLineChars="200"/>
        <w:jc w:val="both"/>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lang w:val="en-US" w:eastAsia="zh-CN"/>
        </w:rPr>
        <w:t>（5）A301</w:t>
      </w:r>
      <w:r>
        <w:rPr>
          <w:rFonts w:hint="eastAsia" w:ascii="方正仿宋_GBK" w:hAnsi="方正仿宋_GBK" w:eastAsia="方正仿宋_GBK" w:cs="方正仿宋_GBK"/>
          <w:b/>
          <w:bCs/>
          <w:color w:val="auto"/>
          <w:sz w:val="32"/>
          <w:szCs w:val="32"/>
          <w:highlight w:val="none"/>
        </w:rPr>
        <w:t>预算编制科学性：</w:t>
      </w:r>
    </w:p>
    <w:p>
      <w:pPr>
        <w:pageBreakBefore w:val="0"/>
        <w:numPr>
          <w:ilvl w:val="0"/>
          <w:numId w:val="0"/>
        </w:numPr>
        <w:kinsoku/>
        <w:wordWrap/>
        <w:topLinePunct w:val="0"/>
        <w:autoSpaceDE/>
        <w:bidi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预算编制经过科学论证，内容与项目内容匹配，预算确定的项目投资额与工作任务相匹配。</w:t>
      </w:r>
      <w:r>
        <w:rPr>
          <w:rFonts w:hint="eastAsia" w:ascii="方正仿宋_GBK" w:hAnsi="方正仿宋_GBK" w:eastAsia="方正仿宋_GBK" w:cs="方正仿宋_GBK"/>
          <w:color w:val="auto"/>
          <w:sz w:val="32"/>
          <w:szCs w:val="32"/>
          <w:highlight w:val="none"/>
          <w:lang w:val="en-US" w:eastAsia="zh-CN"/>
        </w:rPr>
        <w:t>该项目依据</w:t>
      </w:r>
      <w:r>
        <w:rPr>
          <w:rFonts w:hint="eastAsia" w:ascii="方正仿宋_GBK" w:hAnsi="方正仿宋_GBK" w:eastAsia="方正仿宋_GBK" w:cs="方正仿宋_GBK"/>
          <w:color w:val="auto"/>
          <w:kern w:val="0"/>
          <w:sz w:val="32"/>
          <w:szCs w:val="32"/>
          <w:highlight w:val="none"/>
          <w:lang w:val="en-US" w:eastAsia="zh-CN" w:bidi="ar"/>
        </w:rPr>
        <w:t>《关于下达2022年中央农业资源及生态保护补助（统筹整合部分）》（喀地财农〔2022〕12号）文件资金分配，预算额度测算依据充分，严格按照标准编制。</w:t>
      </w:r>
    </w:p>
    <w:p>
      <w:pPr>
        <w:pageBreakBefore w:val="0"/>
        <w:numPr>
          <w:ilvl w:val="0"/>
          <w:numId w:val="0"/>
        </w:numPr>
        <w:kinsoku/>
        <w:wordWrap/>
        <w:topLinePunct w:val="0"/>
        <w:autoSpaceDE/>
        <w:bidi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sz w:val="32"/>
          <w:szCs w:val="32"/>
          <w:highlight w:val="none"/>
          <w:lang w:val="en-US" w:eastAsia="zh-CN"/>
        </w:rPr>
        <w:t>该指标满分为2分，根据评分标准得2分。</w:t>
      </w:r>
    </w:p>
    <w:p>
      <w:pPr>
        <w:pageBreakBefore w:val="0"/>
        <w:numPr>
          <w:ilvl w:val="0"/>
          <w:numId w:val="0"/>
        </w:numPr>
        <w:kinsoku/>
        <w:wordWrap/>
        <w:topLinePunct w:val="0"/>
        <w:autoSpaceDE/>
        <w:bidi w:val="0"/>
        <w:spacing w:line="570" w:lineRule="exact"/>
        <w:ind w:firstLine="643" w:firstLineChars="200"/>
        <w:jc w:val="both"/>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lang w:val="en-US" w:eastAsia="zh-CN"/>
        </w:rPr>
        <w:t>（6）A302</w:t>
      </w:r>
      <w:r>
        <w:rPr>
          <w:rFonts w:hint="eastAsia" w:ascii="方正仿宋_GBK" w:hAnsi="方正仿宋_GBK" w:eastAsia="方正仿宋_GBK" w:cs="方正仿宋_GBK"/>
          <w:b/>
          <w:bCs/>
          <w:color w:val="auto"/>
          <w:sz w:val="32"/>
          <w:szCs w:val="32"/>
          <w:highlight w:val="none"/>
        </w:rPr>
        <w:t>资金分配合理性：</w:t>
      </w:r>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该项目资金根据《关于下达2022年中央农业资源及生态保护补助（统筹整合部分）》（喀地财农﹝2022﹞12号）文件为依据进行资金分配，资金分配与实际相适应，</w:t>
      </w:r>
      <w:r>
        <w:rPr>
          <w:rFonts w:hint="eastAsia" w:ascii="方正仿宋_GBK" w:hAnsi="方正仿宋_GBK" w:eastAsia="方正仿宋_GBK" w:cs="方正仿宋_GBK"/>
          <w:color w:val="auto"/>
          <w:kern w:val="0"/>
          <w:sz w:val="32"/>
          <w:szCs w:val="32"/>
          <w:highlight w:val="none"/>
          <w:lang w:val="en-US" w:eastAsia="zh-Hans" w:bidi="ar"/>
        </w:rPr>
        <w:t>资金分配额度合理</w:t>
      </w:r>
      <w:r>
        <w:rPr>
          <w:rFonts w:hint="eastAsia" w:ascii="方正仿宋_GBK" w:hAnsi="方正仿宋_GBK" w:eastAsia="方正仿宋_GBK" w:cs="方正仿宋_GBK"/>
          <w:color w:val="auto"/>
          <w:kern w:val="0"/>
          <w:sz w:val="32"/>
          <w:szCs w:val="32"/>
          <w:highlight w:val="none"/>
          <w:lang w:val="en-US" w:eastAsia="zh-CN" w:bidi="ar"/>
        </w:rPr>
        <w:t>。</w:t>
      </w:r>
      <w:bookmarkEnd w:id="105"/>
      <w:bookmarkEnd w:id="106"/>
      <w:bookmarkEnd w:id="107"/>
      <w:bookmarkStart w:id="108" w:name="_Toc6269"/>
      <w:bookmarkStart w:id="109" w:name="_Toc7342"/>
      <w:bookmarkStart w:id="110" w:name="_Toc6296"/>
      <w:bookmarkStart w:id="111" w:name="_Toc23541"/>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sz w:val="32"/>
          <w:szCs w:val="32"/>
          <w:highlight w:val="none"/>
          <w:lang w:val="en-US" w:eastAsia="zh-CN"/>
        </w:rPr>
        <w:t>该指标满分为3分，根据评分标准得3分。</w:t>
      </w:r>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3" w:firstLineChars="200"/>
        <w:jc w:val="both"/>
        <w:rPr>
          <w:rFonts w:hint="eastAsia" w:ascii="方正仿宋_GBK" w:hAnsi="方正仿宋_GBK" w:eastAsia="方正仿宋_GBK" w:cs="方正仿宋_GBK"/>
          <w:b/>
          <w:bCs/>
          <w:color w:val="auto"/>
          <w:kern w:val="0"/>
          <w:sz w:val="32"/>
          <w:szCs w:val="32"/>
          <w:highlight w:val="none"/>
          <w:lang w:val="en-US" w:eastAsia="zh-CN" w:bidi="ar"/>
        </w:rPr>
      </w:pPr>
      <w:bookmarkStart w:id="112" w:name="_Toc17061_WPSOffice_Level2"/>
      <w:r>
        <w:rPr>
          <w:rFonts w:hint="eastAsia" w:ascii="方正仿宋_GBK" w:hAnsi="方正仿宋_GBK" w:eastAsia="方正仿宋_GBK" w:cs="方正仿宋_GBK"/>
          <w:b/>
          <w:bCs/>
          <w:color w:val="auto"/>
          <w:kern w:val="0"/>
          <w:sz w:val="32"/>
          <w:szCs w:val="32"/>
          <w:highlight w:val="none"/>
          <w:lang w:val="en-US" w:eastAsia="zh-CN" w:bidi="ar"/>
        </w:rPr>
        <w:t>（二）项目过程情况</w:t>
      </w:r>
      <w:bookmarkEnd w:id="112"/>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bookmarkStart w:id="113" w:name="_Toc8388"/>
      <w:r>
        <w:rPr>
          <w:rFonts w:hint="eastAsia" w:ascii="方正仿宋_GBK" w:hAnsi="方正仿宋_GBK" w:eastAsia="方正仿宋_GBK" w:cs="方正仿宋_GBK"/>
          <w:color w:val="auto"/>
          <w:kern w:val="0"/>
          <w:sz w:val="32"/>
          <w:szCs w:val="32"/>
          <w:highlight w:val="none"/>
          <w:lang w:val="en-US" w:eastAsia="zh-CN" w:bidi="ar"/>
        </w:rPr>
        <w:t>项目过程类指标包括资金管理和组织实施两方面的内容，由5个三级指标构成，权重分为20分，实际得分19分，得分率为95%，各指标业绩值和绩效分值如下表所示：</w:t>
      </w:r>
    </w:p>
    <w:p>
      <w:pPr>
        <w:keepNext w:val="0"/>
        <w:keepLines w:val="0"/>
        <w:pageBreakBefore w:val="0"/>
        <w:widowControl/>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jc w:val="center"/>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表4-2：项目过程类指标及分值</w:t>
      </w:r>
    </w:p>
    <w:tbl>
      <w:tblPr>
        <w:tblStyle w:val="21"/>
        <w:tblW w:w="88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743"/>
        <w:gridCol w:w="1854"/>
        <w:gridCol w:w="1584"/>
        <w:gridCol w:w="693"/>
        <w:gridCol w:w="914"/>
        <w:gridCol w:w="472"/>
        <w:gridCol w:w="915"/>
        <w:gridCol w:w="6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37" w:hRule="atLeast"/>
        </w:trPr>
        <w:tc>
          <w:tcPr>
            <w:tcW w:w="1743"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both"/>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一级指标</w:t>
            </w:r>
          </w:p>
        </w:tc>
        <w:tc>
          <w:tcPr>
            <w:tcW w:w="1854"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both"/>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二级指标</w:t>
            </w:r>
          </w:p>
        </w:tc>
        <w:tc>
          <w:tcPr>
            <w:tcW w:w="1584"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both"/>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三级指标</w:t>
            </w:r>
          </w:p>
        </w:tc>
        <w:tc>
          <w:tcPr>
            <w:tcW w:w="693"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both"/>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标杆值</w:t>
            </w:r>
          </w:p>
        </w:tc>
        <w:tc>
          <w:tcPr>
            <w:tcW w:w="914"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both"/>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业绩值</w:t>
            </w:r>
          </w:p>
        </w:tc>
        <w:tc>
          <w:tcPr>
            <w:tcW w:w="472"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both"/>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权重</w:t>
            </w:r>
          </w:p>
        </w:tc>
        <w:tc>
          <w:tcPr>
            <w:tcW w:w="915"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both"/>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实际得分</w:t>
            </w:r>
          </w:p>
        </w:tc>
        <w:tc>
          <w:tcPr>
            <w:tcW w:w="694"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both"/>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48" w:hRule="atLeast"/>
        </w:trPr>
        <w:tc>
          <w:tcPr>
            <w:tcW w:w="1743" w:type="dxa"/>
            <w:vMerge w:val="restar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B项目过程（20）</w:t>
            </w:r>
          </w:p>
        </w:tc>
        <w:tc>
          <w:tcPr>
            <w:tcW w:w="1854" w:type="dxa"/>
            <w:vMerge w:val="restar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B1资金管理（15）</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B101资金到位率</w:t>
            </w:r>
          </w:p>
        </w:tc>
        <w:tc>
          <w:tcPr>
            <w:tcW w:w="6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91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47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9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6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48" w:hRule="atLeast"/>
        </w:trPr>
        <w:tc>
          <w:tcPr>
            <w:tcW w:w="1743"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bidi w:val="0"/>
              <w:spacing w:line="570" w:lineRule="exact"/>
              <w:jc w:val="both"/>
              <w:rPr>
                <w:rFonts w:hint="eastAsia" w:ascii="宋体" w:hAnsi="宋体" w:eastAsia="宋体" w:cs="宋体"/>
                <w:b/>
                <w:i w:val="0"/>
                <w:color w:val="000000"/>
                <w:sz w:val="22"/>
                <w:szCs w:val="22"/>
                <w:highlight w:val="none"/>
                <w:u w:val="none"/>
              </w:rPr>
            </w:pPr>
          </w:p>
        </w:tc>
        <w:tc>
          <w:tcPr>
            <w:tcW w:w="1854"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bidi w:val="0"/>
              <w:spacing w:line="570" w:lineRule="exact"/>
              <w:jc w:val="both"/>
              <w:rPr>
                <w:rFonts w:hint="eastAsia" w:ascii="宋体" w:hAnsi="宋体" w:eastAsia="宋体" w:cs="宋体"/>
                <w:b/>
                <w:i w:val="0"/>
                <w:color w:val="000000"/>
                <w:sz w:val="22"/>
                <w:szCs w:val="22"/>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B102预算执行率</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100</w:t>
            </w:r>
            <w:r>
              <w:rPr>
                <w:rFonts w:hint="eastAsia" w:ascii="宋体" w:hAnsi="宋体" w:eastAsia="宋体" w:cs="宋体"/>
                <w:b/>
                <w:i w:val="0"/>
                <w:color w:val="000000"/>
                <w:kern w:val="0"/>
                <w:sz w:val="22"/>
                <w:szCs w:val="22"/>
                <w:highlight w:val="none"/>
                <w:u w:val="none"/>
                <w:lang w:val="en-US" w:eastAsia="zh-CN" w:bidi="ar"/>
              </w:rPr>
              <w:t>%</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100</w:t>
            </w:r>
            <w:r>
              <w:rPr>
                <w:rFonts w:hint="eastAsia" w:ascii="宋体" w:hAnsi="宋体" w:eastAsia="宋体" w:cs="宋体"/>
                <w:b/>
                <w:i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37" w:hRule="atLeast"/>
        </w:trPr>
        <w:tc>
          <w:tcPr>
            <w:tcW w:w="1743"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bidi w:val="0"/>
              <w:spacing w:line="570" w:lineRule="exact"/>
              <w:jc w:val="both"/>
              <w:rPr>
                <w:rFonts w:hint="eastAsia" w:ascii="宋体" w:hAnsi="宋体" w:eastAsia="宋体" w:cs="宋体"/>
                <w:b/>
                <w:i w:val="0"/>
                <w:color w:val="000000"/>
                <w:sz w:val="22"/>
                <w:szCs w:val="22"/>
                <w:highlight w:val="none"/>
                <w:u w:val="none"/>
              </w:rPr>
            </w:pPr>
          </w:p>
        </w:tc>
        <w:tc>
          <w:tcPr>
            <w:tcW w:w="1854"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bidi w:val="0"/>
              <w:spacing w:line="570" w:lineRule="exact"/>
              <w:jc w:val="both"/>
              <w:rPr>
                <w:rFonts w:hint="eastAsia" w:ascii="宋体" w:hAnsi="宋体" w:eastAsia="宋体" w:cs="宋体"/>
                <w:b/>
                <w:i w:val="0"/>
                <w:color w:val="000000"/>
                <w:sz w:val="22"/>
                <w:szCs w:val="22"/>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B103资金使用合规性</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合规</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合规</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atLeast"/>
        </w:trPr>
        <w:tc>
          <w:tcPr>
            <w:tcW w:w="1743"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bidi w:val="0"/>
              <w:spacing w:line="570" w:lineRule="exact"/>
              <w:jc w:val="both"/>
              <w:rPr>
                <w:rFonts w:hint="eastAsia" w:ascii="宋体" w:hAnsi="宋体" w:eastAsia="宋体" w:cs="宋体"/>
                <w:b/>
                <w:i w:val="0"/>
                <w:color w:val="000000"/>
                <w:sz w:val="22"/>
                <w:szCs w:val="22"/>
                <w:highlight w:val="none"/>
                <w:u w:val="none"/>
              </w:rPr>
            </w:pPr>
          </w:p>
        </w:tc>
        <w:tc>
          <w:tcPr>
            <w:tcW w:w="1854" w:type="dxa"/>
            <w:vMerge w:val="restar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both"/>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B2组织实施（5）</w:t>
            </w:r>
          </w:p>
        </w:tc>
        <w:tc>
          <w:tcPr>
            <w:tcW w:w="15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B201管理制度健全性</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健全</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部分</w:t>
            </w:r>
            <w:r>
              <w:rPr>
                <w:rFonts w:hint="eastAsia" w:ascii="宋体" w:hAnsi="宋体" w:eastAsia="宋体" w:cs="宋体"/>
                <w:b/>
                <w:i w:val="0"/>
                <w:color w:val="000000"/>
                <w:kern w:val="0"/>
                <w:sz w:val="22"/>
                <w:szCs w:val="22"/>
                <w:highlight w:val="none"/>
                <w:u w:val="none"/>
                <w:lang w:val="en-US" w:eastAsia="zh-CN" w:bidi="ar"/>
              </w:rPr>
              <w:t>健全</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1</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50</w:t>
            </w:r>
            <w:r>
              <w:rPr>
                <w:rFonts w:hint="eastAsia" w:ascii="宋体" w:hAnsi="宋体" w:eastAsia="宋体" w:cs="宋体"/>
                <w:b/>
                <w:i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atLeast"/>
        </w:trPr>
        <w:tc>
          <w:tcPr>
            <w:tcW w:w="1743"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bidi w:val="0"/>
              <w:spacing w:line="570" w:lineRule="exact"/>
              <w:jc w:val="both"/>
              <w:rPr>
                <w:rFonts w:hint="eastAsia" w:ascii="宋体" w:hAnsi="宋体" w:eastAsia="宋体" w:cs="宋体"/>
                <w:b/>
                <w:i w:val="0"/>
                <w:color w:val="000000"/>
                <w:sz w:val="22"/>
                <w:szCs w:val="22"/>
                <w:highlight w:val="none"/>
                <w:u w:val="none"/>
              </w:rPr>
            </w:pPr>
          </w:p>
        </w:tc>
        <w:tc>
          <w:tcPr>
            <w:tcW w:w="1854"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bidi w:val="0"/>
              <w:spacing w:line="570" w:lineRule="exact"/>
              <w:jc w:val="both"/>
              <w:rPr>
                <w:rFonts w:hint="eastAsia" w:ascii="宋体" w:hAnsi="宋体" w:eastAsia="宋体" w:cs="宋体"/>
                <w:b/>
                <w:i w:val="0"/>
                <w:color w:val="000000"/>
                <w:sz w:val="22"/>
                <w:szCs w:val="22"/>
                <w:highlight w:val="none"/>
                <w:u w:val="none"/>
              </w:rPr>
            </w:pPr>
          </w:p>
        </w:tc>
        <w:tc>
          <w:tcPr>
            <w:tcW w:w="158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B202制度执行有效性</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有效</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有效</w:t>
            </w: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default" w:ascii="宋体" w:hAnsi="宋体" w:eastAsia="宋体" w:cs="宋体"/>
                <w:b/>
                <w:i w:val="0"/>
                <w:color w:val="000000"/>
                <w:sz w:val="22"/>
                <w:szCs w:val="22"/>
                <w:highlight w:val="none"/>
                <w:u w:val="none"/>
                <w:lang w:val="en-US" w:eastAsia="zh-CN"/>
              </w:rPr>
            </w:pPr>
            <w:r>
              <w:rPr>
                <w:rFonts w:hint="eastAsia" w:ascii="宋体" w:hAnsi="宋体" w:cs="宋体"/>
                <w:b/>
                <w:i w:val="0"/>
                <w:color w:val="000000"/>
                <w:sz w:val="22"/>
                <w:szCs w:val="22"/>
                <w:highlight w:val="none"/>
                <w:u w:val="none"/>
                <w:lang w:val="en-US" w:eastAsia="zh-CN"/>
              </w:rPr>
              <w:t>3</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default" w:ascii="宋体" w:hAnsi="宋体" w:eastAsia="宋体" w:cs="宋体"/>
                <w:b/>
                <w:i w:val="0"/>
                <w:color w:val="000000"/>
                <w:sz w:val="22"/>
                <w:szCs w:val="22"/>
                <w:highlight w:val="none"/>
                <w:u w:val="none"/>
                <w:lang w:val="en-US" w:eastAsia="zh-CN"/>
              </w:rPr>
            </w:pPr>
            <w:r>
              <w:rPr>
                <w:rFonts w:hint="eastAsia" w:ascii="宋体" w:hAnsi="宋体" w:cs="宋体"/>
                <w:b/>
                <w:i w:val="0"/>
                <w:color w:val="000000"/>
                <w:sz w:val="22"/>
                <w:szCs w:val="22"/>
                <w:highlight w:val="none"/>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67" w:hRule="atLeast"/>
        </w:trPr>
        <w:tc>
          <w:tcPr>
            <w:tcW w:w="518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bidi w:val="0"/>
              <w:spacing w:line="570" w:lineRule="exact"/>
              <w:jc w:val="center"/>
              <w:rPr>
                <w:rFonts w:hint="eastAsia" w:ascii="宋体" w:hAnsi="宋体" w:eastAsia="宋体" w:cs="宋体"/>
                <w:b/>
                <w:i w:val="0"/>
                <w:color w:val="000000"/>
                <w:sz w:val="22"/>
                <w:szCs w:val="22"/>
                <w:highlight w:val="none"/>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bidi w:val="0"/>
              <w:spacing w:line="570" w:lineRule="exact"/>
              <w:jc w:val="center"/>
              <w:rPr>
                <w:rFonts w:hint="eastAsia" w:ascii="宋体" w:hAnsi="宋体" w:eastAsia="宋体" w:cs="宋体"/>
                <w:b/>
                <w:i w:val="0"/>
                <w:color w:val="000000"/>
                <w:sz w:val="22"/>
                <w:szCs w:val="22"/>
                <w:highlight w:val="none"/>
                <w:u w:val="none"/>
              </w:rPr>
            </w:pPr>
          </w:p>
        </w:tc>
        <w:tc>
          <w:tcPr>
            <w:tcW w:w="4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bidi w:val="0"/>
              <w:spacing w:line="570" w:lineRule="exact"/>
              <w:jc w:val="center"/>
              <w:rPr>
                <w:rFonts w:hint="default" w:ascii="宋体" w:hAnsi="宋体" w:eastAsia="宋体" w:cs="宋体"/>
                <w:b/>
                <w:i w:val="0"/>
                <w:color w:val="000000"/>
                <w:sz w:val="22"/>
                <w:szCs w:val="22"/>
                <w:highlight w:val="none"/>
                <w:u w:val="none"/>
                <w:lang w:val="en-US" w:eastAsia="zh-CN"/>
              </w:rPr>
            </w:pPr>
            <w:r>
              <w:rPr>
                <w:rFonts w:hint="eastAsia" w:ascii="宋体" w:hAnsi="宋体" w:eastAsia="宋体" w:cs="宋体"/>
                <w:b/>
                <w:i w:val="0"/>
                <w:color w:val="000000"/>
                <w:sz w:val="22"/>
                <w:szCs w:val="22"/>
                <w:highlight w:val="none"/>
                <w:u w:val="none"/>
                <w:lang w:val="en-US" w:eastAsia="zh-CN"/>
              </w:rPr>
              <w:t>20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bidi w:val="0"/>
              <w:spacing w:line="570" w:lineRule="exact"/>
              <w:jc w:val="center"/>
              <w:rPr>
                <w:rFonts w:hint="default" w:ascii="宋体" w:hAnsi="宋体" w:eastAsia="宋体" w:cs="宋体"/>
                <w:b/>
                <w:i w:val="0"/>
                <w:color w:val="000000"/>
                <w:sz w:val="22"/>
                <w:szCs w:val="22"/>
                <w:highlight w:val="none"/>
                <w:u w:val="none"/>
                <w:lang w:val="en-US" w:eastAsia="zh-CN"/>
              </w:rPr>
            </w:pPr>
            <w:r>
              <w:rPr>
                <w:rFonts w:hint="eastAsia" w:ascii="宋体" w:hAnsi="宋体" w:cs="宋体"/>
                <w:b/>
                <w:i w:val="0"/>
                <w:color w:val="000000"/>
                <w:sz w:val="22"/>
                <w:szCs w:val="22"/>
                <w:highlight w:val="none"/>
                <w:u w:val="none"/>
                <w:lang w:val="en-US" w:eastAsia="zh-CN"/>
              </w:rPr>
              <w:t>19</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bidi w:val="0"/>
              <w:spacing w:line="570" w:lineRule="exact"/>
              <w:jc w:val="center"/>
              <w:rPr>
                <w:rFonts w:hint="default" w:ascii="宋体" w:hAnsi="宋体" w:eastAsia="宋体" w:cs="宋体"/>
                <w:b/>
                <w:i w:val="0"/>
                <w:color w:val="000000"/>
                <w:sz w:val="22"/>
                <w:szCs w:val="22"/>
                <w:highlight w:val="none"/>
                <w:u w:val="none"/>
                <w:lang w:val="en-US" w:eastAsia="zh-CN"/>
              </w:rPr>
            </w:pPr>
            <w:r>
              <w:rPr>
                <w:rFonts w:hint="eastAsia" w:ascii="宋体" w:hAnsi="宋体" w:cs="宋体"/>
                <w:b/>
                <w:i w:val="0"/>
                <w:color w:val="000000"/>
                <w:sz w:val="22"/>
                <w:szCs w:val="22"/>
                <w:highlight w:val="none"/>
                <w:u w:val="none"/>
                <w:lang w:val="en-US" w:eastAsia="zh-CN"/>
              </w:rPr>
              <w:t>95</w:t>
            </w:r>
            <w:r>
              <w:rPr>
                <w:rFonts w:hint="eastAsia" w:ascii="宋体" w:hAnsi="宋体" w:eastAsia="宋体" w:cs="宋体"/>
                <w:b/>
                <w:i w:val="0"/>
                <w:color w:val="000000"/>
                <w:sz w:val="22"/>
                <w:szCs w:val="22"/>
                <w:highlight w:val="none"/>
                <w:u w:val="no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3" w:firstLineChars="200"/>
        <w:jc w:val="both"/>
        <w:textAlignment w:val="auto"/>
        <w:rPr>
          <w:rFonts w:hint="eastAsia" w:ascii="方正仿宋_GBK" w:hAnsi="方正仿宋_GBK" w:eastAsia="方正仿宋_GBK" w:cs="方正仿宋_GBK"/>
          <w:b/>
          <w:bCs w:val="0"/>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指标得分分析：</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3" w:firstLineChars="200"/>
        <w:jc w:val="both"/>
        <w:textAlignment w:val="auto"/>
        <w:rPr>
          <w:rStyle w:val="34"/>
          <w:rFonts w:hint="eastAsia" w:ascii="方正仿宋_GBK" w:hAnsi="方正仿宋_GBK" w:eastAsia="方正仿宋_GBK" w:cs="方正仿宋_GBK"/>
          <w:b/>
          <w:bCs w:val="0"/>
          <w:color w:val="auto"/>
          <w:sz w:val="32"/>
          <w:szCs w:val="32"/>
          <w:highlight w:val="none"/>
          <w:lang w:eastAsia="zh-CN"/>
        </w:rPr>
      </w:pPr>
      <w:r>
        <w:rPr>
          <w:rFonts w:hint="eastAsia" w:ascii="方正仿宋_GBK" w:hAnsi="方正仿宋_GBK" w:eastAsia="方正仿宋_GBK" w:cs="方正仿宋_GBK"/>
          <w:b/>
          <w:bCs w:val="0"/>
          <w:color w:val="auto"/>
          <w:kern w:val="0"/>
          <w:sz w:val="32"/>
          <w:szCs w:val="32"/>
          <w:highlight w:val="none"/>
          <w:lang w:val="en-US" w:eastAsia="zh-CN"/>
        </w:rPr>
        <w:t>（1）B101</w:t>
      </w:r>
      <w:r>
        <w:rPr>
          <w:rStyle w:val="34"/>
          <w:rFonts w:hint="eastAsia" w:ascii="方正仿宋_GBK" w:hAnsi="方正仿宋_GBK" w:eastAsia="方正仿宋_GBK" w:cs="方正仿宋_GBK"/>
          <w:b/>
          <w:bCs w:val="0"/>
          <w:color w:val="auto"/>
          <w:sz w:val="32"/>
          <w:szCs w:val="32"/>
          <w:highlight w:val="none"/>
          <w:lang w:eastAsia="zh-CN"/>
        </w:rPr>
        <w:t>资金到位率：</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outlineLvl w:val="2"/>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经查证，《关于下达2022年中央农业资源及生态保护补助（统筹整合部分）》本项目预算安排总额为119.88万元，实际到位119.88万元，资金到位率100%。资金到位率=（实际到位资金/预算资金）×100%=（119.88万元/119.88万元）×100%=100%。财政资金足额拨付到位，能够及时足额按照合同约定将专项资金拨付给联合体单位。</w:t>
      </w:r>
    </w:p>
    <w:p>
      <w:pPr>
        <w:pageBreakBefore w:val="0"/>
        <w:numPr>
          <w:ilvl w:val="0"/>
          <w:numId w:val="0"/>
        </w:numPr>
        <w:pBdr>
          <w:top w:val="none" w:color="000000" w:sz="0" w:space="0"/>
          <w:left w:val="none" w:color="000000" w:sz="0" w:space="0"/>
          <w:bottom w:val="none" w:color="000000" w:sz="0" w:space="31"/>
          <w:right w:val="none" w:color="000000" w:sz="0" w:space="2"/>
        </w:pBdr>
        <w:kinsoku/>
        <w:wordWrap/>
        <w:overflowPunct/>
        <w:topLinePunct w:val="0"/>
        <w:autoSpaceDE/>
        <w:autoSpaceDN w:val="0"/>
        <w:bidi w:val="0"/>
        <w:adjustRightInd w:val="0"/>
        <w:snapToGrid w:val="0"/>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sz w:val="32"/>
          <w:szCs w:val="32"/>
          <w:highlight w:val="none"/>
          <w:lang w:val="en-US" w:eastAsia="zh-CN"/>
        </w:rPr>
        <w:t>该指标满分为5分，根据评分标准得5分。</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200" w:firstLine="321" w:firstLineChars="100"/>
        <w:jc w:val="both"/>
        <w:textAlignment w:val="auto"/>
        <w:outlineLvl w:val="1"/>
        <w:rPr>
          <w:rFonts w:hint="eastAsia" w:ascii="方正仿宋_GBK" w:hAnsi="方正仿宋_GBK" w:eastAsia="方正仿宋_GBK" w:cs="方正仿宋_GBK"/>
          <w:b/>
          <w:bCs/>
          <w:color w:val="auto"/>
          <w:kern w:val="0"/>
          <w:sz w:val="32"/>
          <w:szCs w:val="32"/>
          <w:highlight w:val="none"/>
          <w:lang w:val="en-US" w:eastAsia="zh-CN" w:bidi="ar"/>
        </w:rPr>
      </w:pPr>
      <w:r>
        <w:rPr>
          <w:rFonts w:hint="eastAsia" w:ascii="方正仿宋_GBK" w:hAnsi="方正仿宋_GBK" w:eastAsia="方正仿宋_GBK" w:cs="方正仿宋_GBK"/>
          <w:b/>
          <w:bCs/>
          <w:color w:val="auto"/>
          <w:kern w:val="0"/>
          <w:sz w:val="32"/>
          <w:szCs w:val="32"/>
          <w:highlight w:val="none"/>
          <w:lang w:val="en-US" w:eastAsia="zh-CN" w:bidi="ar"/>
        </w:rPr>
        <w:t>（2）B102预算执行率：</w:t>
      </w:r>
    </w:p>
    <w:p>
      <w:pPr>
        <w:pStyle w:val="38"/>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jc w:val="both"/>
        <w:textAlignment w:val="auto"/>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经查证《国库集中支付凭证》、验收单等资料，该项目实际到位资金为119.88万元，实际支出119.88万元，资金执行率100%。预算执行率=（实际支出资金/实际到位资金）×100%=（119.88万元/119.88万元）×100%=100%。预算编制较为详细，项目资金支出总体能够按照预算执行。</w:t>
      </w:r>
    </w:p>
    <w:p>
      <w:pPr>
        <w:pStyle w:val="38"/>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jc w:val="both"/>
        <w:textAlignment w:val="auto"/>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该项指标满分为5分，根据评分标准得5分。</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200" w:firstLine="321" w:firstLineChars="100"/>
        <w:jc w:val="both"/>
        <w:textAlignment w:val="auto"/>
        <w:outlineLvl w:val="1"/>
        <w:rPr>
          <w:rFonts w:hint="eastAsia" w:ascii="方正仿宋_GBK" w:hAnsi="方正仿宋_GBK" w:eastAsia="方正仿宋_GBK" w:cs="方正仿宋_GBK"/>
          <w:b/>
          <w:bCs/>
          <w:color w:val="auto"/>
          <w:kern w:val="0"/>
          <w:sz w:val="32"/>
          <w:szCs w:val="32"/>
          <w:highlight w:val="none"/>
          <w:lang w:val="en-US" w:eastAsia="zh-CN" w:bidi="ar"/>
        </w:rPr>
      </w:pPr>
      <w:r>
        <w:rPr>
          <w:rFonts w:hint="eastAsia" w:ascii="方正仿宋_GBK" w:hAnsi="方正仿宋_GBK" w:eastAsia="方正仿宋_GBK" w:cs="方正仿宋_GBK"/>
          <w:b/>
          <w:bCs/>
          <w:color w:val="auto"/>
          <w:kern w:val="0"/>
          <w:sz w:val="32"/>
          <w:szCs w:val="32"/>
          <w:highlight w:val="none"/>
          <w:lang w:val="en-US" w:eastAsia="zh-CN" w:bidi="ar"/>
        </w:rPr>
        <w:t>（3）B103资金使用合规性：</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①该项目资金使用符合国家财经法规、《政府会计制度》、以及《伽师县农技推广中心财务管理制度》。</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②项目预算资金119.88万元，用途为用于土壤样品检测，项目资金使用符合项目预算。</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③该项目不存在截留、挤占、挪用、虚列支出等情况。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④经查证《政府采购审批表》、国库集中支付凭证，该项目资金的拨付是有完整的审批程序和手续。</w:t>
      </w:r>
    </w:p>
    <w:p>
      <w:pPr>
        <w:pStyle w:val="38"/>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jc w:val="both"/>
        <w:textAlignment w:val="auto"/>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该项指标满分为5分，根据评分标准得5分。</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200" w:firstLine="321" w:firstLineChars="100"/>
        <w:jc w:val="both"/>
        <w:textAlignment w:val="auto"/>
        <w:outlineLvl w:val="1"/>
        <w:rPr>
          <w:rFonts w:hint="eastAsia" w:ascii="方正仿宋_GBK" w:hAnsi="方正仿宋_GBK" w:eastAsia="方正仿宋_GBK" w:cs="方正仿宋_GBK"/>
          <w:b/>
          <w:bCs/>
          <w:color w:val="auto"/>
          <w:kern w:val="0"/>
          <w:sz w:val="32"/>
          <w:szCs w:val="32"/>
          <w:highlight w:val="none"/>
          <w:lang w:val="en-US" w:eastAsia="zh-CN" w:bidi="ar"/>
        </w:rPr>
      </w:pPr>
      <w:r>
        <w:rPr>
          <w:rFonts w:hint="eastAsia" w:ascii="方正仿宋_GBK" w:hAnsi="方正仿宋_GBK" w:eastAsia="方正仿宋_GBK" w:cs="方正仿宋_GBK"/>
          <w:b/>
          <w:bCs/>
          <w:color w:val="auto"/>
          <w:kern w:val="0"/>
          <w:sz w:val="32"/>
          <w:szCs w:val="32"/>
          <w:highlight w:val="none"/>
          <w:lang w:val="en-US" w:eastAsia="zh-CN" w:bidi="ar"/>
        </w:rPr>
        <w:t>（4）B201管理制度健全性：</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①伽师县农技中心制定了《伽师县农业技术推广中心预算绩效管理工作实施办法》，《伽师县农业技术推广中心财务管理制度》，《伽师县农业技术推广中心单位管理制度》等财务管理制度，</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②财务管理制度合法，合规，完整。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该项指标满分为2分，根据评分标准得1分。</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200" w:firstLine="321" w:firstLineChars="100"/>
        <w:jc w:val="both"/>
        <w:textAlignment w:val="auto"/>
        <w:outlineLvl w:val="1"/>
        <w:rPr>
          <w:rFonts w:hint="eastAsia" w:ascii="方正仿宋_GBK" w:hAnsi="方正仿宋_GBK" w:eastAsia="方正仿宋_GBK" w:cs="方正仿宋_GBK"/>
          <w:b/>
          <w:bCs/>
          <w:color w:val="auto"/>
          <w:kern w:val="0"/>
          <w:sz w:val="32"/>
          <w:szCs w:val="32"/>
          <w:highlight w:val="none"/>
          <w:lang w:val="en-US" w:eastAsia="zh-CN" w:bidi="ar"/>
        </w:rPr>
      </w:pPr>
      <w:r>
        <w:rPr>
          <w:rFonts w:hint="eastAsia" w:ascii="方正仿宋_GBK" w:hAnsi="方正仿宋_GBK" w:eastAsia="方正仿宋_GBK" w:cs="方正仿宋_GBK"/>
          <w:b/>
          <w:bCs/>
          <w:color w:val="auto"/>
          <w:kern w:val="0"/>
          <w:sz w:val="32"/>
          <w:szCs w:val="32"/>
          <w:highlight w:val="none"/>
          <w:lang w:val="en-US" w:eastAsia="zh-CN" w:bidi="ar"/>
        </w:rPr>
        <w:t>（5）B202制度执行有效性</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outlineLvl w:val="1"/>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①该项目严格遵守采购相关法律法规和项目相关管理规。</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outlineLvl w:val="1"/>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②该项目实施内容和支出均不存在调整的情况。</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outlineLvl w:val="1"/>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③经查证，项目采购合同、技术咨询合同、验收报告、政采云验收单等资料齐全并及时归档。</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outlineLvl w:val="1"/>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④项目实施配备专业的技术人员对土壤进行室内进行化验检测，人员、场地、信息支撑等落实到位</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outlineLvl w:val="1"/>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该项指标满分为3分，根据评分标准得3分。</w:t>
      </w:r>
    </w:p>
    <w:bookmarkEnd w:id="108"/>
    <w:bookmarkEnd w:id="109"/>
    <w:bookmarkEnd w:id="110"/>
    <w:bookmarkEnd w:id="111"/>
    <w:bookmarkEnd w:id="113"/>
    <w:p>
      <w:pPr>
        <w:pStyle w:val="37"/>
        <w:keepNext/>
        <w:keepLines/>
        <w:pageBreakBefore w:val="0"/>
        <w:widowControl w:val="0"/>
        <w:kinsoku/>
        <w:wordWrap/>
        <w:overflowPunct/>
        <w:topLinePunct w:val="0"/>
        <w:autoSpaceDE/>
        <w:autoSpaceDN/>
        <w:bidi w:val="0"/>
        <w:adjustRightInd/>
        <w:snapToGrid/>
        <w:spacing w:line="570" w:lineRule="exact"/>
        <w:ind w:left="560"/>
        <w:jc w:val="both"/>
        <w:textAlignment w:val="auto"/>
        <w:rPr>
          <w:rFonts w:hint="eastAsia" w:ascii="方正楷体_GBK" w:hAnsi="方正楷体_GBK" w:eastAsia="方正楷体_GBK" w:cs="方正楷体_GBK"/>
          <w:b/>
          <w:bCs/>
          <w:sz w:val="32"/>
          <w:highlight w:val="none"/>
        </w:rPr>
      </w:pPr>
      <w:bookmarkStart w:id="114" w:name="_Toc13293_WPSOffice_Level2"/>
      <w:bookmarkStart w:id="115" w:name="_Toc26282"/>
      <w:bookmarkStart w:id="116" w:name="_Toc28580"/>
      <w:bookmarkStart w:id="117" w:name="_Toc30123"/>
      <w:bookmarkStart w:id="118" w:name="_Toc21119"/>
      <w:r>
        <w:rPr>
          <w:rFonts w:hint="eastAsia" w:ascii="方正楷体_GBK" w:hAnsi="方正楷体_GBK" w:eastAsia="方正楷体_GBK" w:cs="方正楷体_GBK"/>
          <w:b/>
          <w:bCs/>
          <w:sz w:val="32"/>
          <w:highlight w:val="none"/>
        </w:rPr>
        <w:t>（三）项目产出情况</w:t>
      </w:r>
      <w:bookmarkEnd w:id="114"/>
    </w:p>
    <w:p>
      <w:pPr>
        <w:pageBreakBefore w:val="0"/>
        <w:kinsoku/>
        <w:wordWrap/>
        <w:topLinePunct w:val="0"/>
        <w:autoSpaceDE/>
        <w:bidi w:val="0"/>
        <w:spacing w:line="570" w:lineRule="exact"/>
        <w:ind w:firstLine="640" w:firstLineChars="200"/>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b w:val="0"/>
          <w:bCs/>
          <w:color w:val="auto"/>
          <w:kern w:val="0"/>
          <w:sz w:val="32"/>
          <w:szCs w:val="32"/>
          <w:highlight w:val="none"/>
          <w:lang w:val="en-US" w:eastAsia="zh-CN" w:bidi="ar"/>
        </w:rPr>
        <w:t>项目产出类指标包括产出数量、产出质量、产出时效、产出成本四方面的内容，由11个三级指标构成，权重分为40分，实际得分40分，得分率为100%，</w:t>
      </w:r>
      <w:r>
        <w:rPr>
          <w:rFonts w:hint="eastAsia" w:ascii="方正仿宋_GBK" w:hAnsi="方正仿宋_GBK" w:eastAsia="方正仿宋_GBK" w:cs="方正仿宋_GBK"/>
          <w:color w:val="auto"/>
          <w:sz w:val="32"/>
          <w:szCs w:val="32"/>
          <w:highlight w:val="none"/>
        </w:rPr>
        <w:t>各指标业绩值和绩效分值如下表所示</w:t>
      </w:r>
      <w:r>
        <w:rPr>
          <w:rFonts w:hint="eastAsia" w:ascii="方正仿宋_GBK" w:hAnsi="方正仿宋_GBK" w:eastAsia="方正仿宋_GBK" w:cs="方正仿宋_GBK"/>
          <w:color w:val="auto"/>
          <w:sz w:val="32"/>
          <w:szCs w:val="32"/>
          <w:highlight w:val="none"/>
          <w:lang w:eastAsia="zh-CN"/>
        </w:rPr>
        <w:t>：</w:t>
      </w:r>
    </w:p>
    <w:p>
      <w:pPr>
        <w:pStyle w:val="2"/>
        <w:pageBreakBefore w:val="0"/>
        <w:kinsoku/>
        <w:wordWrap/>
        <w:bidi w:val="0"/>
        <w:spacing w:line="570" w:lineRule="exact"/>
        <w:jc w:val="center"/>
        <w:rPr>
          <w:rFonts w:hint="eastAsia"/>
          <w:highlight w:val="none"/>
          <w:lang w:eastAsia="zh-CN"/>
        </w:rPr>
      </w:pPr>
      <w:r>
        <w:rPr>
          <w:rFonts w:hint="eastAsia"/>
          <w:highlight w:val="none"/>
          <w:lang w:eastAsia="zh-CN"/>
        </w:rPr>
        <w:t>表4-3：项目产出指标及分值</w:t>
      </w:r>
    </w:p>
    <w:tbl>
      <w:tblPr>
        <w:tblStyle w:val="21"/>
        <w:tblW w:w="9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880"/>
        <w:gridCol w:w="2314"/>
        <w:gridCol w:w="1229"/>
        <w:gridCol w:w="1129"/>
        <w:gridCol w:w="759"/>
        <w:gridCol w:w="739"/>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880"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Style w:val="33"/>
                <w:rFonts w:hint="default" w:ascii="Times New Roman" w:hAnsi="Times New Roman" w:eastAsia="仿宋_GB2312" w:cs="Times New Roman"/>
                <w:color w:val="auto"/>
                <w:sz w:val="21"/>
                <w:szCs w:val="21"/>
                <w:highlight w:val="none"/>
              </w:rPr>
            </w:pPr>
            <w:r>
              <w:rPr>
                <w:rFonts w:hint="eastAsia" w:ascii="宋体" w:hAnsi="宋体" w:cs="宋体"/>
                <w:b/>
                <w:i w:val="0"/>
                <w:color w:val="000000"/>
                <w:kern w:val="0"/>
                <w:sz w:val="21"/>
                <w:szCs w:val="21"/>
                <w:highlight w:val="none"/>
                <w:u w:val="none"/>
                <w:lang w:val="en-US" w:eastAsia="zh-CN" w:bidi="ar"/>
              </w:rPr>
              <w:t>一级指标</w:t>
            </w:r>
          </w:p>
        </w:tc>
        <w:tc>
          <w:tcPr>
            <w:tcW w:w="880"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Style w:val="33"/>
                <w:rFonts w:hint="default" w:ascii="Times New Roman" w:hAnsi="Times New Roman" w:eastAsia="仿宋_GB2312" w:cs="Times New Roman"/>
                <w:color w:val="auto"/>
                <w:highlight w:val="none"/>
              </w:rPr>
            </w:pPr>
            <w:r>
              <w:rPr>
                <w:rFonts w:hint="eastAsia" w:ascii="宋体" w:hAnsi="宋体" w:eastAsia="宋体" w:cs="宋体"/>
                <w:b/>
                <w:i w:val="0"/>
                <w:color w:val="000000"/>
                <w:kern w:val="0"/>
                <w:sz w:val="21"/>
                <w:szCs w:val="21"/>
                <w:highlight w:val="none"/>
                <w:u w:val="none"/>
                <w:lang w:val="en-US" w:eastAsia="zh-CN" w:bidi="ar"/>
              </w:rPr>
              <w:t>二级指标</w:t>
            </w:r>
          </w:p>
        </w:tc>
        <w:tc>
          <w:tcPr>
            <w:tcW w:w="2314"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Style w:val="33"/>
                <w:rFonts w:hint="default" w:ascii="Times New Roman" w:hAnsi="Times New Roman" w:eastAsia="仿宋_GB2312" w:cs="Times New Roman"/>
                <w:color w:val="auto"/>
                <w:highlight w:val="none"/>
              </w:rPr>
            </w:pPr>
            <w:r>
              <w:rPr>
                <w:rFonts w:hint="eastAsia" w:ascii="宋体" w:hAnsi="宋体" w:eastAsia="宋体" w:cs="宋体"/>
                <w:b/>
                <w:i w:val="0"/>
                <w:color w:val="000000"/>
                <w:kern w:val="0"/>
                <w:sz w:val="22"/>
                <w:szCs w:val="22"/>
                <w:highlight w:val="none"/>
                <w:u w:val="none"/>
                <w:lang w:val="en-US" w:eastAsia="zh-CN" w:bidi="ar"/>
              </w:rPr>
              <w:t>三级指标</w:t>
            </w:r>
          </w:p>
        </w:tc>
        <w:tc>
          <w:tcPr>
            <w:tcW w:w="1229"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Style w:val="33"/>
                <w:rFonts w:hint="eastAsia" w:ascii="Times New Roman" w:hAnsi="Times New Roman" w:eastAsia="仿宋_GB2312" w:cs="Times New Roman"/>
                <w:color w:val="auto"/>
                <w:highlight w:val="none"/>
                <w:lang w:val="en-US" w:eastAsia="zh-CN"/>
              </w:rPr>
            </w:pPr>
            <w:r>
              <w:rPr>
                <w:rFonts w:hint="eastAsia" w:ascii="宋体" w:hAnsi="宋体" w:eastAsia="宋体" w:cs="宋体"/>
                <w:b/>
                <w:i w:val="0"/>
                <w:color w:val="000000"/>
                <w:kern w:val="0"/>
                <w:sz w:val="22"/>
                <w:szCs w:val="22"/>
                <w:highlight w:val="none"/>
                <w:u w:val="none"/>
                <w:lang w:val="en-US" w:eastAsia="zh-CN" w:bidi="ar"/>
              </w:rPr>
              <w:t>标杆值</w:t>
            </w:r>
          </w:p>
        </w:tc>
        <w:tc>
          <w:tcPr>
            <w:tcW w:w="1129"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Style w:val="33"/>
                <w:rFonts w:hint="eastAsia" w:ascii="Times New Roman" w:hAnsi="Times New Roman" w:eastAsia="仿宋_GB2312" w:cs="Times New Roman"/>
                <w:color w:val="auto"/>
                <w:highlight w:val="none"/>
                <w:lang w:val="en-US" w:eastAsia="zh-CN"/>
              </w:rPr>
            </w:pPr>
            <w:r>
              <w:rPr>
                <w:rFonts w:hint="eastAsia" w:ascii="宋体" w:hAnsi="宋体" w:eastAsia="宋体" w:cs="宋体"/>
                <w:b/>
                <w:i w:val="0"/>
                <w:color w:val="000000"/>
                <w:kern w:val="0"/>
                <w:sz w:val="22"/>
                <w:szCs w:val="22"/>
                <w:highlight w:val="none"/>
                <w:u w:val="none"/>
                <w:lang w:val="en-US" w:eastAsia="zh-CN" w:bidi="ar"/>
              </w:rPr>
              <w:t>业绩值</w:t>
            </w:r>
          </w:p>
        </w:tc>
        <w:tc>
          <w:tcPr>
            <w:tcW w:w="759"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Style w:val="33"/>
                <w:rFonts w:hint="eastAsia" w:ascii="Times New Roman" w:hAnsi="Times New Roman" w:eastAsia="仿宋_GB2312" w:cs="Times New Roman"/>
                <w:color w:val="auto"/>
                <w:highlight w:val="none"/>
                <w:lang w:val="en-US" w:eastAsia="zh-CN"/>
              </w:rPr>
            </w:pPr>
            <w:r>
              <w:rPr>
                <w:rFonts w:hint="eastAsia" w:ascii="宋体" w:hAnsi="宋体" w:eastAsia="宋体" w:cs="宋体"/>
                <w:b/>
                <w:i w:val="0"/>
                <w:color w:val="000000"/>
                <w:kern w:val="0"/>
                <w:sz w:val="22"/>
                <w:szCs w:val="22"/>
                <w:highlight w:val="none"/>
                <w:u w:val="none"/>
                <w:lang w:val="en-US" w:eastAsia="zh-CN" w:bidi="ar"/>
              </w:rPr>
              <w:t>权重</w:t>
            </w:r>
          </w:p>
        </w:tc>
        <w:tc>
          <w:tcPr>
            <w:tcW w:w="739"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Style w:val="33"/>
                <w:rFonts w:hint="eastAsia" w:ascii="Times New Roman" w:hAnsi="Times New Roman" w:eastAsia="仿宋_GB2312" w:cs="Times New Roman"/>
                <w:color w:val="auto"/>
                <w:highlight w:val="none"/>
                <w:lang w:val="en-US" w:eastAsia="zh-CN"/>
              </w:rPr>
            </w:pPr>
            <w:r>
              <w:rPr>
                <w:rFonts w:hint="eastAsia" w:ascii="宋体" w:hAnsi="宋体" w:eastAsia="宋体" w:cs="宋体"/>
                <w:b/>
                <w:i w:val="0"/>
                <w:color w:val="000000"/>
                <w:kern w:val="0"/>
                <w:sz w:val="21"/>
                <w:szCs w:val="21"/>
                <w:highlight w:val="none"/>
                <w:u w:val="none"/>
                <w:lang w:val="en-US" w:eastAsia="zh-CN" w:bidi="ar"/>
              </w:rPr>
              <w:t>实际得分</w:t>
            </w:r>
          </w:p>
        </w:tc>
        <w:tc>
          <w:tcPr>
            <w:tcW w:w="1125"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Style w:val="33"/>
                <w:rFonts w:hint="eastAsia" w:ascii="Times New Roman" w:hAnsi="Times New Roman" w:eastAsia="仿宋_GB2312" w:cs="Times New Roman"/>
                <w:color w:val="auto"/>
                <w:highlight w:val="none"/>
                <w:lang w:val="en-US" w:eastAsia="zh-CN"/>
              </w:rPr>
            </w:pPr>
            <w:r>
              <w:rPr>
                <w:rFonts w:hint="eastAsia" w:ascii="宋体" w:hAnsi="宋体" w:eastAsia="宋体" w:cs="宋体"/>
                <w:b/>
                <w:i w:val="0"/>
                <w:color w:val="000000"/>
                <w:kern w:val="0"/>
                <w:sz w:val="22"/>
                <w:szCs w:val="22"/>
                <w:highlight w:val="none"/>
                <w:u w:val="none"/>
                <w:lang w:val="en-US" w:eastAsia="zh-CN" w:bidi="ar"/>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880" w:type="dxa"/>
            <w:vMerge w:val="restart"/>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C产出（40）</w:t>
            </w:r>
          </w:p>
        </w:tc>
        <w:tc>
          <w:tcPr>
            <w:tcW w:w="880" w:type="dxa"/>
            <w:vMerge w:val="restart"/>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C1产出数量（10）</w:t>
            </w:r>
          </w:p>
        </w:tc>
        <w:tc>
          <w:tcPr>
            <w:tcW w:w="2314"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default" w:ascii="宋体" w:hAnsi="宋体" w:eastAsia="宋体" w:cs="宋体"/>
                <w:b/>
                <w:i w:val="0"/>
                <w:color w:val="000000"/>
                <w:kern w:val="0"/>
                <w:sz w:val="22"/>
                <w:szCs w:val="22"/>
                <w:highlight w:val="none"/>
                <w:u w:val="none"/>
                <w:lang w:val="en-US" w:eastAsia="zh-CN" w:bidi="ar"/>
              </w:rPr>
              <w:t>C</w:t>
            </w:r>
            <w:r>
              <w:rPr>
                <w:rFonts w:hint="eastAsia" w:ascii="宋体" w:hAnsi="宋体" w:eastAsia="宋体" w:cs="宋体"/>
                <w:b/>
                <w:i w:val="0"/>
                <w:color w:val="000000"/>
                <w:kern w:val="0"/>
                <w:sz w:val="22"/>
                <w:szCs w:val="22"/>
                <w:highlight w:val="none"/>
                <w:u w:val="none"/>
                <w:lang w:val="en-US" w:eastAsia="zh-CN" w:bidi="ar"/>
              </w:rPr>
              <w:t>1</w:t>
            </w:r>
            <w:r>
              <w:rPr>
                <w:rFonts w:hint="default" w:ascii="宋体" w:hAnsi="宋体" w:eastAsia="宋体" w:cs="宋体"/>
                <w:b/>
                <w:i w:val="0"/>
                <w:color w:val="000000"/>
                <w:kern w:val="0"/>
                <w:sz w:val="22"/>
                <w:szCs w:val="22"/>
                <w:highlight w:val="none"/>
                <w:u w:val="none"/>
                <w:lang w:val="en-US" w:eastAsia="zh-CN" w:bidi="ar"/>
              </w:rPr>
              <w:t>01</w:t>
            </w:r>
            <w:r>
              <w:rPr>
                <w:rFonts w:hint="eastAsia" w:ascii="宋体" w:hAnsi="宋体" w:eastAsia="宋体" w:cs="宋体"/>
                <w:b/>
                <w:i w:val="0"/>
                <w:color w:val="000000"/>
                <w:kern w:val="0"/>
                <w:sz w:val="22"/>
                <w:szCs w:val="22"/>
                <w:highlight w:val="none"/>
                <w:u w:val="none"/>
                <w:lang w:val="en-US" w:eastAsia="zh-CN" w:bidi="ar"/>
              </w:rPr>
              <w:t>采集土壤样品流转数量（次）</w:t>
            </w:r>
          </w:p>
        </w:tc>
        <w:tc>
          <w:tcPr>
            <w:tcW w:w="1229" w:type="dxa"/>
            <w:noWrap w:val="0"/>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&gt;=2386</w:t>
            </w:r>
          </w:p>
        </w:tc>
        <w:tc>
          <w:tcPr>
            <w:tcW w:w="1129" w:type="dxa"/>
            <w:noWrap w:val="0"/>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2386</w:t>
            </w:r>
          </w:p>
        </w:tc>
        <w:tc>
          <w:tcPr>
            <w:tcW w:w="759" w:type="dxa"/>
            <w:noWrap w:val="0"/>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2</w:t>
            </w:r>
          </w:p>
        </w:tc>
        <w:tc>
          <w:tcPr>
            <w:tcW w:w="739" w:type="dxa"/>
            <w:noWrap w:val="0"/>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2</w:t>
            </w:r>
          </w:p>
        </w:tc>
        <w:tc>
          <w:tcPr>
            <w:tcW w:w="1125" w:type="dxa"/>
            <w:noWrap w:val="0"/>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2314"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default" w:ascii="宋体" w:hAnsi="宋体" w:eastAsia="宋体" w:cs="宋体"/>
                <w:b/>
                <w:i w:val="0"/>
                <w:color w:val="000000"/>
                <w:kern w:val="0"/>
                <w:sz w:val="22"/>
                <w:szCs w:val="22"/>
                <w:highlight w:val="none"/>
                <w:u w:val="none"/>
                <w:lang w:val="en-US" w:eastAsia="zh-CN" w:bidi="ar"/>
              </w:rPr>
              <w:t>C</w:t>
            </w:r>
            <w:r>
              <w:rPr>
                <w:rFonts w:hint="eastAsia" w:ascii="宋体" w:hAnsi="宋体" w:eastAsia="宋体" w:cs="宋体"/>
                <w:b/>
                <w:i w:val="0"/>
                <w:color w:val="000000"/>
                <w:kern w:val="0"/>
                <w:sz w:val="22"/>
                <w:szCs w:val="22"/>
                <w:highlight w:val="none"/>
                <w:u w:val="none"/>
                <w:lang w:val="en-US" w:eastAsia="zh-CN" w:bidi="ar"/>
              </w:rPr>
              <w:t>1</w:t>
            </w:r>
            <w:r>
              <w:rPr>
                <w:rFonts w:hint="default" w:ascii="宋体" w:hAnsi="宋体" w:eastAsia="宋体" w:cs="宋体"/>
                <w:b/>
                <w:i w:val="0"/>
                <w:color w:val="000000"/>
                <w:kern w:val="0"/>
                <w:sz w:val="22"/>
                <w:szCs w:val="22"/>
                <w:highlight w:val="none"/>
                <w:u w:val="none"/>
                <w:lang w:val="en-US" w:eastAsia="zh-CN" w:bidi="ar"/>
              </w:rPr>
              <w:t>0</w:t>
            </w:r>
            <w:r>
              <w:rPr>
                <w:rFonts w:hint="eastAsia" w:ascii="宋体" w:hAnsi="宋体" w:eastAsia="宋体" w:cs="宋体"/>
                <w:b/>
                <w:i w:val="0"/>
                <w:color w:val="000000"/>
                <w:kern w:val="0"/>
                <w:sz w:val="22"/>
                <w:szCs w:val="22"/>
                <w:highlight w:val="none"/>
                <w:u w:val="none"/>
                <w:lang w:val="en-US" w:eastAsia="zh-CN" w:bidi="ar"/>
              </w:rPr>
              <w:t>2土壤样品检测分析数（项次）</w:t>
            </w:r>
          </w:p>
        </w:tc>
        <w:tc>
          <w:tcPr>
            <w:tcW w:w="1229" w:type="dxa"/>
            <w:noWrap w:val="0"/>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&gt;=13987</w:t>
            </w:r>
          </w:p>
        </w:tc>
        <w:tc>
          <w:tcPr>
            <w:tcW w:w="1129" w:type="dxa"/>
            <w:noWrap w:val="0"/>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13987</w:t>
            </w:r>
          </w:p>
        </w:tc>
        <w:tc>
          <w:tcPr>
            <w:tcW w:w="759" w:type="dxa"/>
            <w:noWrap w:val="0"/>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3</w:t>
            </w:r>
          </w:p>
        </w:tc>
        <w:tc>
          <w:tcPr>
            <w:tcW w:w="739" w:type="dxa"/>
            <w:noWrap w:val="0"/>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3</w:t>
            </w:r>
          </w:p>
        </w:tc>
        <w:tc>
          <w:tcPr>
            <w:tcW w:w="1125" w:type="dxa"/>
            <w:noWrap w:val="0"/>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2314"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default" w:ascii="宋体" w:hAnsi="宋体" w:eastAsia="宋体" w:cs="宋体"/>
                <w:b/>
                <w:i w:val="0"/>
                <w:color w:val="000000"/>
                <w:kern w:val="0"/>
                <w:sz w:val="22"/>
                <w:szCs w:val="22"/>
                <w:highlight w:val="none"/>
                <w:u w:val="none"/>
                <w:lang w:val="en-US" w:eastAsia="zh-CN" w:bidi="ar"/>
              </w:rPr>
              <w:t>C</w:t>
            </w:r>
            <w:r>
              <w:rPr>
                <w:rFonts w:hint="eastAsia" w:ascii="宋体" w:hAnsi="宋体" w:eastAsia="宋体" w:cs="宋体"/>
                <w:b/>
                <w:i w:val="0"/>
                <w:color w:val="000000"/>
                <w:kern w:val="0"/>
                <w:sz w:val="22"/>
                <w:szCs w:val="22"/>
                <w:highlight w:val="none"/>
                <w:u w:val="none"/>
                <w:lang w:val="en-US" w:eastAsia="zh-CN" w:bidi="ar"/>
              </w:rPr>
              <w:t>1</w:t>
            </w:r>
            <w:r>
              <w:rPr>
                <w:rFonts w:hint="default" w:ascii="宋体" w:hAnsi="宋体" w:eastAsia="宋体" w:cs="宋体"/>
                <w:b/>
                <w:i w:val="0"/>
                <w:color w:val="000000"/>
                <w:kern w:val="0"/>
                <w:sz w:val="22"/>
                <w:szCs w:val="22"/>
                <w:highlight w:val="none"/>
                <w:u w:val="none"/>
                <w:lang w:val="en-US" w:eastAsia="zh-CN" w:bidi="ar"/>
              </w:rPr>
              <w:t>0</w:t>
            </w:r>
            <w:r>
              <w:rPr>
                <w:rFonts w:hint="eastAsia" w:ascii="宋体" w:hAnsi="宋体" w:eastAsia="宋体" w:cs="宋体"/>
                <w:b/>
                <w:i w:val="0"/>
                <w:color w:val="000000"/>
                <w:kern w:val="0"/>
                <w:sz w:val="22"/>
                <w:szCs w:val="22"/>
                <w:highlight w:val="none"/>
                <w:u w:val="none"/>
                <w:lang w:val="en-US" w:eastAsia="zh-CN" w:bidi="ar"/>
              </w:rPr>
              <w:t>3购买取土壤样品的耗材数量（批）</w:t>
            </w:r>
          </w:p>
        </w:tc>
        <w:tc>
          <w:tcPr>
            <w:tcW w:w="1229" w:type="dxa"/>
            <w:noWrap w:val="0"/>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w:t>
            </w:r>
          </w:p>
        </w:tc>
        <w:tc>
          <w:tcPr>
            <w:tcW w:w="1129" w:type="dxa"/>
            <w:noWrap w:val="0"/>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w:t>
            </w:r>
          </w:p>
        </w:tc>
        <w:tc>
          <w:tcPr>
            <w:tcW w:w="759" w:type="dxa"/>
            <w:noWrap w:val="0"/>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2</w:t>
            </w:r>
          </w:p>
        </w:tc>
        <w:tc>
          <w:tcPr>
            <w:tcW w:w="739" w:type="dxa"/>
            <w:noWrap w:val="0"/>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2</w:t>
            </w:r>
          </w:p>
        </w:tc>
        <w:tc>
          <w:tcPr>
            <w:tcW w:w="1125" w:type="dxa"/>
            <w:noWrap w:val="0"/>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2314"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default" w:ascii="宋体" w:hAnsi="宋体" w:eastAsia="宋体" w:cs="宋体"/>
                <w:b/>
                <w:i w:val="0"/>
                <w:color w:val="000000"/>
                <w:kern w:val="0"/>
                <w:sz w:val="22"/>
                <w:szCs w:val="22"/>
                <w:highlight w:val="none"/>
                <w:u w:val="none"/>
                <w:lang w:val="en-US" w:eastAsia="zh-CN" w:bidi="ar"/>
              </w:rPr>
              <w:t>C</w:t>
            </w:r>
            <w:r>
              <w:rPr>
                <w:rFonts w:hint="eastAsia" w:ascii="宋体" w:hAnsi="宋体" w:eastAsia="宋体" w:cs="宋体"/>
                <w:b/>
                <w:i w:val="0"/>
                <w:color w:val="000000"/>
                <w:kern w:val="0"/>
                <w:sz w:val="22"/>
                <w:szCs w:val="22"/>
                <w:highlight w:val="none"/>
                <w:u w:val="none"/>
                <w:lang w:val="en-US" w:eastAsia="zh-CN" w:bidi="ar"/>
              </w:rPr>
              <w:t>1</w:t>
            </w:r>
            <w:r>
              <w:rPr>
                <w:rFonts w:hint="default" w:ascii="宋体" w:hAnsi="宋体" w:eastAsia="宋体" w:cs="宋体"/>
                <w:b/>
                <w:i w:val="0"/>
                <w:color w:val="000000"/>
                <w:kern w:val="0"/>
                <w:sz w:val="22"/>
                <w:szCs w:val="22"/>
                <w:highlight w:val="none"/>
                <w:u w:val="none"/>
                <w:lang w:val="en-US" w:eastAsia="zh-CN" w:bidi="ar"/>
              </w:rPr>
              <w:t>0</w:t>
            </w:r>
            <w:r>
              <w:rPr>
                <w:rFonts w:hint="eastAsia" w:ascii="宋体" w:hAnsi="宋体" w:eastAsia="宋体" w:cs="宋体"/>
                <w:b/>
                <w:i w:val="0"/>
                <w:color w:val="000000"/>
                <w:kern w:val="0"/>
                <w:sz w:val="22"/>
                <w:szCs w:val="22"/>
                <w:highlight w:val="none"/>
                <w:u w:val="none"/>
                <w:lang w:val="en-US" w:eastAsia="zh-CN" w:bidi="ar"/>
              </w:rPr>
              <w:t>4购买土壤样品的工具数量（批）</w:t>
            </w:r>
          </w:p>
        </w:tc>
        <w:tc>
          <w:tcPr>
            <w:tcW w:w="1229" w:type="dxa"/>
            <w:noWrap w:val="0"/>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w:t>
            </w:r>
          </w:p>
        </w:tc>
        <w:tc>
          <w:tcPr>
            <w:tcW w:w="1129" w:type="dxa"/>
            <w:noWrap w:val="0"/>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w:t>
            </w:r>
          </w:p>
        </w:tc>
        <w:tc>
          <w:tcPr>
            <w:tcW w:w="759" w:type="dxa"/>
            <w:noWrap w:val="0"/>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3</w:t>
            </w:r>
          </w:p>
        </w:tc>
        <w:tc>
          <w:tcPr>
            <w:tcW w:w="739" w:type="dxa"/>
            <w:noWrap w:val="0"/>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3</w:t>
            </w:r>
          </w:p>
        </w:tc>
        <w:tc>
          <w:tcPr>
            <w:tcW w:w="1125" w:type="dxa"/>
            <w:noWrap w:val="0"/>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880"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C2产出质量（10）</w:t>
            </w:r>
          </w:p>
        </w:tc>
        <w:tc>
          <w:tcPr>
            <w:tcW w:w="2314"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default" w:ascii="宋体" w:hAnsi="宋体" w:eastAsia="宋体" w:cs="宋体"/>
                <w:b/>
                <w:i w:val="0"/>
                <w:color w:val="000000"/>
                <w:kern w:val="0"/>
                <w:sz w:val="22"/>
                <w:szCs w:val="22"/>
                <w:highlight w:val="none"/>
                <w:u w:val="none"/>
                <w:lang w:val="en-US" w:eastAsia="zh-CN" w:bidi="ar"/>
              </w:rPr>
              <w:t>C</w:t>
            </w:r>
            <w:r>
              <w:rPr>
                <w:rFonts w:hint="eastAsia" w:ascii="宋体" w:hAnsi="宋体" w:eastAsia="宋体" w:cs="宋体"/>
                <w:b/>
                <w:i w:val="0"/>
                <w:color w:val="000000"/>
                <w:kern w:val="0"/>
                <w:sz w:val="22"/>
                <w:szCs w:val="22"/>
                <w:highlight w:val="none"/>
                <w:u w:val="none"/>
                <w:lang w:val="en-US" w:eastAsia="zh-CN" w:bidi="ar"/>
              </w:rPr>
              <w:t>2</w:t>
            </w:r>
            <w:r>
              <w:rPr>
                <w:rFonts w:hint="default" w:ascii="宋体" w:hAnsi="宋体" w:eastAsia="宋体" w:cs="宋体"/>
                <w:b/>
                <w:i w:val="0"/>
                <w:color w:val="000000"/>
                <w:kern w:val="0"/>
                <w:sz w:val="22"/>
                <w:szCs w:val="22"/>
                <w:highlight w:val="none"/>
                <w:u w:val="none"/>
                <w:lang w:val="en-US" w:eastAsia="zh-CN" w:bidi="ar"/>
              </w:rPr>
              <w:t>0</w:t>
            </w:r>
            <w:r>
              <w:rPr>
                <w:rFonts w:hint="eastAsia" w:ascii="宋体" w:hAnsi="宋体" w:eastAsia="宋体" w:cs="宋体"/>
                <w:b/>
                <w:i w:val="0"/>
                <w:color w:val="000000"/>
                <w:kern w:val="0"/>
                <w:sz w:val="22"/>
                <w:szCs w:val="22"/>
                <w:highlight w:val="none"/>
                <w:u w:val="none"/>
                <w:lang w:val="en-US" w:eastAsia="zh-CN" w:bidi="ar"/>
              </w:rPr>
              <w:t>1资金使用合规率（%）</w:t>
            </w:r>
          </w:p>
        </w:tc>
        <w:tc>
          <w:tcPr>
            <w:tcW w:w="12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c>
          <w:tcPr>
            <w:tcW w:w="11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c>
          <w:tcPr>
            <w:tcW w:w="75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w:t>
            </w:r>
          </w:p>
        </w:tc>
        <w:tc>
          <w:tcPr>
            <w:tcW w:w="73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w:t>
            </w:r>
          </w:p>
        </w:tc>
        <w:tc>
          <w:tcPr>
            <w:tcW w:w="1125"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880" w:type="dxa"/>
            <w:vMerge w:val="restart"/>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C3产出时效（10）</w:t>
            </w:r>
          </w:p>
        </w:tc>
        <w:tc>
          <w:tcPr>
            <w:tcW w:w="2314"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default" w:ascii="宋体" w:hAnsi="宋体" w:eastAsia="宋体" w:cs="宋体"/>
                <w:b/>
                <w:i w:val="0"/>
                <w:color w:val="000000"/>
                <w:kern w:val="0"/>
                <w:sz w:val="22"/>
                <w:szCs w:val="22"/>
                <w:highlight w:val="none"/>
                <w:u w:val="none"/>
                <w:lang w:val="en-US" w:eastAsia="zh-CN" w:bidi="ar"/>
              </w:rPr>
              <w:t>C</w:t>
            </w:r>
            <w:r>
              <w:rPr>
                <w:rFonts w:hint="eastAsia" w:ascii="宋体" w:hAnsi="宋体" w:eastAsia="宋体" w:cs="宋体"/>
                <w:b/>
                <w:i w:val="0"/>
                <w:color w:val="000000"/>
                <w:kern w:val="0"/>
                <w:sz w:val="22"/>
                <w:szCs w:val="22"/>
                <w:highlight w:val="none"/>
                <w:u w:val="none"/>
                <w:lang w:val="en-US" w:eastAsia="zh-CN" w:bidi="ar"/>
              </w:rPr>
              <w:t>301项目开工率（%）</w:t>
            </w:r>
          </w:p>
        </w:tc>
        <w:tc>
          <w:tcPr>
            <w:tcW w:w="12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c>
          <w:tcPr>
            <w:tcW w:w="11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c>
          <w:tcPr>
            <w:tcW w:w="75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5</w:t>
            </w:r>
          </w:p>
        </w:tc>
        <w:tc>
          <w:tcPr>
            <w:tcW w:w="73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5</w:t>
            </w:r>
          </w:p>
        </w:tc>
        <w:tc>
          <w:tcPr>
            <w:tcW w:w="1125"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2314"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default" w:ascii="宋体" w:hAnsi="宋体" w:eastAsia="宋体" w:cs="宋体"/>
                <w:b/>
                <w:i w:val="0"/>
                <w:color w:val="000000"/>
                <w:kern w:val="0"/>
                <w:sz w:val="22"/>
                <w:szCs w:val="22"/>
                <w:highlight w:val="none"/>
                <w:u w:val="none"/>
                <w:lang w:val="en-US" w:eastAsia="zh-CN" w:bidi="ar"/>
              </w:rPr>
              <w:t>C</w:t>
            </w:r>
            <w:r>
              <w:rPr>
                <w:rFonts w:hint="eastAsia" w:ascii="宋体" w:hAnsi="宋体" w:eastAsia="宋体" w:cs="宋体"/>
                <w:b/>
                <w:i w:val="0"/>
                <w:color w:val="000000"/>
                <w:kern w:val="0"/>
                <w:sz w:val="22"/>
                <w:szCs w:val="22"/>
                <w:highlight w:val="none"/>
                <w:u w:val="none"/>
                <w:lang w:val="en-US" w:eastAsia="zh-CN" w:bidi="ar"/>
              </w:rPr>
              <w:t>302项目完工时间</w:t>
            </w:r>
          </w:p>
        </w:tc>
        <w:tc>
          <w:tcPr>
            <w:tcW w:w="12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2022年12月</w:t>
            </w:r>
          </w:p>
        </w:tc>
        <w:tc>
          <w:tcPr>
            <w:tcW w:w="11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2022年12月</w:t>
            </w:r>
          </w:p>
        </w:tc>
        <w:tc>
          <w:tcPr>
            <w:tcW w:w="75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5</w:t>
            </w:r>
          </w:p>
        </w:tc>
        <w:tc>
          <w:tcPr>
            <w:tcW w:w="73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5</w:t>
            </w:r>
          </w:p>
        </w:tc>
        <w:tc>
          <w:tcPr>
            <w:tcW w:w="1125"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880" w:type="dxa"/>
            <w:vMerge w:val="restart"/>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C4产出成本（10）</w:t>
            </w:r>
          </w:p>
        </w:tc>
        <w:tc>
          <w:tcPr>
            <w:tcW w:w="2314"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default" w:ascii="宋体" w:hAnsi="宋体" w:eastAsia="宋体" w:cs="宋体"/>
                <w:b/>
                <w:i w:val="0"/>
                <w:color w:val="000000"/>
                <w:kern w:val="0"/>
                <w:sz w:val="22"/>
                <w:szCs w:val="22"/>
                <w:highlight w:val="none"/>
                <w:u w:val="none"/>
                <w:lang w:val="en-US" w:eastAsia="zh-CN" w:bidi="ar"/>
              </w:rPr>
              <w:t>C</w:t>
            </w:r>
            <w:r>
              <w:rPr>
                <w:rFonts w:hint="eastAsia" w:ascii="宋体" w:hAnsi="宋体" w:cs="宋体"/>
                <w:b/>
                <w:i w:val="0"/>
                <w:color w:val="000000"/>
                <w:kern w:val="0"/>
                <w:sz w:val="22"/>
                <w:szCs w:val="22"/>
                <w:highlight w:val="none"/>
                <w:u w:val="none"/>
                <w:lang w:val="en-US" w:eastAsia="zh-CN" w:bidi="ar"/>
              </w:rPr>
              <w:t>401</w:t>
            </w:r>
            <w:r>
              <w:rPr>
                <w:rFonts w:hint="eastAsia" w:ascii="宋体" w:hAnsi="宋体" w:eastAsia="宋体" w:cs="宋体"/>
                <w:b/>
                <w:i w:val="0"/>
                <w:color w:val="000000"/>
                <w:kern w:val="0"/>
                <w:sz w:val="22"/>
                <w:szCs w:val="22"/>
                <w:highlight w:val="none"/>
                <w:u w:val="none"/>
                <w:lang w:val="en-US" w:eastAsia="zh-CN" w:bidi="ar"/>
              </w:rPr>
              <w:t>采集土壤样品流转费（万元）</w:t>
            </w:r>
          </w:p>
        </w:tc>
        <w:tc>
          <w:tcPr>
            <w:tcW w:w="12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&lt;=8.35</w:t>
            </w:r>
          </w:p>
        </w:tc>
        <w:tc>
          <w:tcPr>
            <w:tcW w:w="11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8.35</w:t>
            </w:r>
          </w:p>
        </w:tc>
        <w:tc>
          <w:tcPr>
            <w:tcW w:w="75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2</w:t>
            </w:r>
          </w:p>
        </w:tc>
        <w:tc>
          <w:tcPr>
            <w:tcW w:w="73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2</w:t>
            </w:r>
          </w:p>
        </w:tc>
        <w:tc>
          <w:tcPr>
            <w:tcW w:w="1125"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2314"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default" w:ascii="宋体" w:hAnsi="宋体" w:eastAsia="宋体" w:cs="宋体"/>
                <w:b/>
                <w:i w:val="0"/>
                <w:color w:val="000000"/>
                <w:kern w:val="0"/>
                <w:sz w:val="22"/>
                <w:szCs w:val="22"/>
                <w:highlight w:val="none"/>
                <w:u w:val="none"/>
                <w:lang w:val="en-US" w:eastAsia="zh-CN" w:bidi="ar"/>
              </w:rPr>
              <w:t>C</w:t>
            </w:r>
            <w:r>
              <w:rPr>
                <w:rFonts w:hint="eastAsia" w:ascii="宋体" w:hAnsi="宋体" w:cs="宋体"/>
                <w:b/>
                <w:i w:val="0"/>
                <w:color w:val="000000"/>
                <w:kern w:val="0"/>
                <w:sz w:val="22"/>
                <w:szCs w:val="22"/>
                <w:highlight w:val="none"/>
                <w:u w:val="none"/>
                <w:lang w:val="en-US" w:eastAsia="zh-CN" w:bidi="ar"/>
              </w:rPr>
              <w:t>402</w:t>
            </w:r>
            <w:r>
              <w:rPr>
                <w:rFonts w:hint="eastAsia" w:ascii="宋体" w:hAnsi="宋体" w:eastAsia="宋体" w:cs="宋体"/>
                <w:b/>
                <w:i w:val="0"/>
                <w:color w:val="000000"/>
                <w:kern w:val="0"/>
                <w:sz w:val="22"/>
                <w:szCs w:val="22"/>
                <w:highlight w:val="none"/>
                <w:u w:val="none"/>
                <w:lang w:val="en-US" w:eastAsia="zh-CN" w:bidi="ar"/>
              </w:rPr>
              <w:t>土壤样品检测分析费用（万元）</w:t>
            </w:r>
          </w:p>
        </w:tc>
        <w:tc>
          <w:tcPr>
            <w:tcW w:w="12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&lt;=</w:t>
            </w:r>
            <w:r>
              <w:rPr>
                <w:rFonts w:hint="eastAsia" w:ascii="宋体" w:hAnsi="宋体" w:cs="宋体"/>
                <w:b/>
                <w:i w:val="0"/>
                <w:color w:val="000000"/>
                <w:kern w:val="0"/>
                <w:sz w:val="22"/>
                <w:szCs w:val="22"/>
                <w:highlight w:val="none"/>
                <w:u w:val="none"/>
                <w:lang w:val="en-US" w:eastAsia="zh-CN" w:bidi="ar"/>
              </w:rPr>
              <w:t>102.55</w:t>
            </w:r>
          </w:p>
        </w:tc>
        <w:tc>
          <w:tcPr>
            <w:tcW w:w="11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102.55</w:t>
            </w:r>
          </w:p>
        </w:tc>
        <w:tc>
          <w:tcPr>
            <w:tcW w:w="75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3</w:t>
            </w:r>
          </w:p>
        </w:tc>
        <w:tc>
          <w:tcPr>
            <w:tcW w:w="73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3</w:t>
            </w:r>
          </w:p>
        </w:tc>
        <w:tc>
          <w:tcPr>
            <w:tcW w:w="1125"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2314"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default" w:ascii="宋体" w:hAnsi="宋体" w:eastAsia="宋体" w:cs="宋体"/>
                <w:b/>
                <w:i w:val="0"/>
                <w:color w:val="000000"/>
                <w:kern w:val="0"/>
                <w:sz w:val="22"/>
                <w:szCs w:val="22"/>
                <w:highlight w:val="none"/>
                <w:u w:val="none"/>
                <w:lang w:val="en-US" w:eastAsia="zh-CN" w:bidi="ar"/>
              </w:rPr>
              <w:t>C</w:t>
            </w:r>
            <w:r>
              <w:rPr>
                <w:rFonts w:hint="eastAsia" w:ascii="宋体" w:hAnsi="宋体" w:cs="宋体"/>
                <w:b/>
                <w:i w:val="0"/>
                <w:color w:val="000000"/>
                <w:kern w:val="0"/>
                <w:sz w:val="22"/>
                <w:szCs w:val="22"/>
                <w:highlight w:val="none"/>
                <w:u w:val="none"/>
                <w:lang w:val="en-US" w:eastAsia="zh-CN" w:bidi="ar"/>
              </w:rPr>
              <w:t>403</w:t>
            </w:r>
            <w:r>
              <w:rPr>
                <w:rFonts w:hint="eastAsia" w:ascii="宋体" w:hAnsi="宋体" w:eastAsia="宋体" w:cs="宋体"/>
                <w:b/>
                <w:i w:val="0"/>
                <w:color w:val="000000"/>
                <w:kern w:val="0"/>
                <w:sz w:val="22"/>
                <w:szCs w:val="22"/>
                <w:highlight w:val="none"/>
                <w:u w:val="none"/>
                <w:lang w:val="en-US" w:eastAsia="zh-CN" w:bidi="ar"/>
              </w:rPr>
              <w:t>购置取土壤样品的耗材成本（万元/批）</w:t>
            </w:r>
          </w:p>
        </w:tc>
        <w:tc>
          <w:tcPr>
            <w:tcW w:w="12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=1.474</w:t>
            </w:r>
          </w:p>
        </w:tc>
        <w:tc>
          <w:tcPr>
            <w:tcW w:w="11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1.474</w:t>
            </w:r>
          </w:p>
        </w:tc>
        <w:tc>
          <w:tcPr>
            <w:tcW w:w="75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2</w:t>
            </w:r>
          </w:p>
        </w:tc>
        <w:tc>
          <w:tcPr>
            <w:tcW w:w="73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2</w:t>
            </w:r>
          </w:p>
        </w:tc>
        <w:tc>
          <w:tcPr>
            <w:tcW w:w="1125"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88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2314"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default" w:ascii="宋体" w:hAnsi="宋体" w:eastAsia="宋体" w:cs="宋体"/>
                <w:b/>
                <w:i w:val="0"/>
                <w:color w:val="000000"/>
                <w:kern w:val="0"/>
                <w:sz w:val="22"/>
                <w:szCs w:val="22"/>
                <w:highlight w:val="none"/>
                <w:u w:val="none"/>
                <w:lang w:val="en-US" w:eastAsia="zh-CN" w:bidi="ar"/>
              </w:rPr>
              <w:t>C</w:t>
            </w:r>
            <w:r>
              <w:rPr>
                <w:rFonts w:hint="eastAsia" w:ascii="宋体" w:hAnsi="宋体" w:cs="宋体"/>
                <w:b/>
                <w:i w:val="0"/>
                <w:color w:val="000000"/>
                <w:kern w:val="0"/>
                <w:sz w:val="22"/>
                <w:szCs w:val="22"/>
                <w:highlight w:val="none"/>
                <w:u w:val="none"/>
                <w:lang w:val="en-US" w:eastAsia="zh-CN" w:bidi="ar"/>
              </w:rPr>
              <w:t>404购买土壤</w:t>
            </w:r>
            <w:r>
              <w:rPr>
                <w:rFonts w:hint="eastAsia" w:ascii="宋体" w:hAnsi="宋体" w:eastAsia="宋体" w:cs="宋体"/>
                <w:b/>
                <w:i w:val="0"/>
                <w:color w:val="000000"/>
                <w:kern w:val="0"/>
                <w:sz w:val="22"/>
                <w:szCs w:val="22"/>
                <w:highlight w:val="none"/>
                <w:u w:val="none"/>
                <w:lang w:val="en-US" w:eastAsia="zh-CN" w:bidi="ar"/>
              </w:rPr>
              <w:t>样品的工具成本（万元/批）</w:t>
            </w:r>
          </w:p>
        </w:tc>
        <w:tc>
          <w:tcPr>
            <w:tcW w:w="12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=8</w:t>
            </w:r>
          </w:p>
        </w:tc>
        <w:tc>
          <w:tcPr>
            <w:tcW w:w="112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8</w:t>
            </w:r>
          </w:p>
        </w:tc>
        <w:tc>
          <w:tcPr>
            <w:tcW w:w="75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3</w:t>
            </w:r>
          </w:p>
        </w:tc>
        <w:tc>
          <w:tcPr>
            <w:tcW w:w="73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3</w:t>
            </w:r>
          </w:p>
        </w:tc>
        <w:tc>
          <w:tcPr>
            <w:tcW w:w="1125"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4074" w:type="dxa"/>
            <w:gridSpan w:val="3"/>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合计</w:t>
            </w:r>
          </w:p>
        </w:tc>
        <w:tc>
          <w:tcPr>
            <w:tcW w:w="1229"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p>
        </w:tc>
        <w:tc>
          <w:tcPr>
            <w:tcW w:w="1129"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p>
        </w:tc>
        <w:tc>
          <w:tcPr>
            <w:tcW w:w="75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40</w:t>
            </w:r>
          </w:p>
        </w:tc>
        <w:tc>
          <w:tcPr>
            <w:tcW w:w="73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40</w:t>
            </w:r>
          </w:p>
        </w:tc>
        <w:tc>
          <w:tcPr>
            <w:tcW w:w="1125"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bl>
    <w:p>
      <w:pPr>
        <w:pageBreakBefore w:val="0"/>
        <w:kinsoku/>
        <w:wordWrap/>
        <w:topLinePunct w:val="0"/>
        <w:autoSpaceDE/>
        <w:autoSpaceDN/>
        <w:bidi w:val="0"/>
        <w:spacing w:line="570" w:lineRule="exact"/>
        <w:ind w:firstLine="643" w:firstLineChars="200"/>
        <w:jc w:val="both"/>
        <w:rPr>
          <w:rFonts w:hint="eastAsia" w:ascii="方正仿宋_GBK" w:hAnsi="方正仿宋_GBK" w:eastAsia="方正仿宋_GBK" w:cs="方正仿宋_GBK"/>
          <w:b/>
          <w:bCs w:val="0"/>
          <w:color w:val="auto"/>
          <w:kern w:val="0"/>
          <w:sz w:val="32"/>
          <w:szCs w:val="32"/>
          <w:highlight w:val="none"/>
          <w:lang w:val="en-US" w:eastAsia="zh-CN" w:bidi="ar"/>
        </w:rPr>
      </w:pPr>
      <w:r>
        <w:rPr>
          <w:rFonts w:hint="eastAsia" w:ascii="方正仿宋_GBK" w:hAnsi="方正仿宋_GBK" w:eastAsia="方正仿宋_GBK" w:cs="方正仿宋_GBK"/>
          <w:b/>
          <w:bCs/>
          <w:i w:val="0"/>
          <w:iCs w:val="0"/>
          <w:color w:val="auto"/>
          <w:sz w:val="32"/>
          <w:szCs w:val="32"/>
          <w:highlight w:val="none"/>
          <w:lang w:val="en-US" w:eastAsia="zh-CN"/>
        </w:rPr>
        <w:t>指标得分分析：</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bCs w:val="0"/>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（1）C101采集土壤样品流转数量（次）指标：</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ab/>
      </w:r>
      <w:r>
        <w:rPr>
          <w:rFonts w:hint="eastAsia" w:ascii="方正仿宋_GBK" w:hAnsi="方正仿宋_GBK" w:eastAsia="方正仿宋_GBK" w:cs="方正仿宋_GBK"/>
          <w:b w:val="0"/>
          <w:bCs/>
          <w:color w:val="auto"/>
          <w:kern w:val="0"/>
          <w:sz w:val="32"/>
          <w:szCs w:val="32"/>
          <w:highlight w:val="none"/>
          <w:lang w:val="en-US" w:eastAsia="zh-CN" w:bidi="ar"/>
        </w:rPr>
        <w:t>经查看《项目的验收单》该项目采集土壤样品流转数量2386次，根据评分标准，得满分。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该指标满分为3分，根据评分标准得3分。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bCs w:val="0"/>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（2）C102土壤样品检测分析数（项次）指标：</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经查看项目的验收单，合同该项目土壤样品检测分析数13987项次，与预期目标一致，根据评分标准，得满分。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该指标满分为2分，根据评分标准得2分。</w:t>
      </w:r>
    </w:p>
    <w:p>
      <w:pPr>
        <w:pStyle w:val="2"/>
        <w:pageBreakBefore w:val="0"/>
        <w:kinsoku/>
        <w:wordWrap/>
        <w:bidi w:val="0"/>
        <w:spacing w:line="570" w:lineRule="exact"/>
        <w:rPr>
          <w:rFonts w:hint="eastAsia"/>
          <w:highlight w:val="none"/>
          <w:lang w:val="en-US" w:eastAsia="zh-CN"/>
        </w:rPr>
      </w:pPr>
    </w:p>
    <w:p>
      <w:pPr>
        <w:pageBreakBefore w:val="0"/>
        <w:numPr>
          <w:ilvl w:val="0"/>
          <w:numId w:val="0"/>
        </w:numPr>
        <w:kinsoku/>
        <w:wordWrap/>
        <w:topLinePunct w:val="0"/>
        <w:autoSpaceDE/>
        <w:autoSpaceDN/>
        <w:bidi w:val="0"/>
        <w:spacing w:line="570" w:lineRule="exact"/>
        <w:ind w:firstLine="643" w:firstLineChars="200"/>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（3）</w:t>
      </w:r>
      <w:r>
        <w:rPr>
          <w:rFonts w:hint="default" w:ascii="方正仿宋_GBK" w:hAnsi="方正仿宋_GBK" w:eastAsia="方正仿宋_GBK" w:cs="方正仿宋_GBK"/>
          <w:b/>
          <w:bCs w:val="0"/>
          <w:color w:val="auto"/>
          <w:kern w:val="0"/>
          <w:sz w:val="32"/>
          <w:szCs w:val="32"/>
          <w:highlight w:val="none"/>
          <w:lang w:val="en-US" w:eastAsia="zh-CN" w:bidi="ar"/>
        </w:rPr>
        <w:t>C</w:t>
      </w:r>
      <w:r>
        <w:rPr>
          <w:rFonts w:hint="eastAsia" w:ascii="方正仿宋_GBK" w:hAnsi="方正仿宋_GBK" w:eastAsia="方正仿宋_GBK" w:cs="方正仿宋_GBK"/>
          <w:b/>
          <w:bCs w:val="0"/>
          <w:color w:val="auto"/>
          <w:kern w:val="0"/>
          <w:sz w:val="32"/>
          <w:szCs w:val="32"/>
          <w:highlight w:val="none"/>
          <w:lang w:val="en-US" w:eastAsia="zh-CN" w:bidi="ar"/>
        </w:rPr>
        <w:t>1</w:t>
      </w:r>
      <w:r>
        <w:rPr>
          <w:rFonts w:hint="default" w:ascii="方正仿宋_GBK" w:hAnsi="方正仿宋_GBK" w:eastAsia="方正仿宋_GBK" w:cs="方正仿宋_GBK"/>
          <w:b/>
          <w:bCs w:val="0"/>
          <w:color w:val="auto"/>
          <w:kern w:val="0"/>
          <w:sz w:val="32"/>
          <w:szCs w:val="32"/>
          <w:highlight w:val="none"/>
          <w:lang w:val="en-US" w:eastAsia="zh-CN" w:bidi="ar"/>
        </w:rPr>
        <w:t>0</w:t>
      </w:r>
      <w:r>
        <w:rPr>
          <w:rFonts w:hint="eastAsia" w:ascii="方正仿宋_GBK" w:hAnsi="方正仿宋_GBK" w:eastAsia="方正仿宋_GBK" w:cs="方正仿宋_GBK"/>
          <w:b/>
          <w:bCs w:val="0"/>
          <w:color w:val="auto"/>
          <w:kern w:val="0"/>
          <w:sz w:val="32"/>
          <w:szCs w:val="32"/>
          <w:highlight w:val="none"/>
          <w:lang w:val="en-US" w:eastAsia="zh-CN" w:bidi="ar"/>
        </w:rPr>
        <w:t>3购买取土壤样品的耗材数量（批）指标：</w:t>
      </w:r>
    </w:p>
    <w:p>
      <w:pPr>
        <w:pageBreakBefore w:val="0"/>
        <w:numPr>
          <w:ilvl w:val="0"/>
          <w:numId w:val="0"/>
        </w:numPr>
        <w:kinsoku/>
        <w:wordWrap/>
        <w:topLinePunct w:val="0"/>
        <w:autoSpaceDE/>
        <w:autoSpaceDN/>
        <w:bidi w:val="0"/>
        <w:spacing w:line="570" w:lineRule="exact"/>
        <w:ind w:firstLine="640" w:firstLineChars="200"/>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经查看政采云验收单，该项目购买的取土壤样品的耗材数量1批，与预期目标一致，根据评分标准，得满分。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该指标满分为2分，根据评分标准得2分。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bCs w:val="0"/>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（4）</w:t>
      </w:r>
      <w:r>
        <w:rPr>
          <w:rFonts w:hint="default" w:ascii="方正仿宋_GBK" w:hAnsi="方正仿宋_GBK" w:eastAsia="方正仿宋_GBK" w:cs="方正仿宋_GBK"/>
          <w:b/>
          <w:bCs w:val="0"/>
          <w:color w:val="auto"/>
          <w:kern w:val="0"/>
          <w:sz w:val="32"/>
          <w:szCs w:val="32"/>
          <w:highlight w:val="none"/>
          <w:lang w:val="en-US" w:eastAsia="zh-CN" w:bidi="ar"/>
        </w:rPr>
        <w:t>C</w:t>
      </w:r>
      <w:r>
        <w:rPr>
          <w:rFonts w:hint="eastAsia" w:ascii="方正仿宋_GBK" w:hAnsi="方正仿宋_GBK" w:eastAsia="方正仿宋_GBK" w:cs="方正仿宋_GBK"/>
          <w:b/>
          <w:bCs w:val="0"/>
          <w:color w:val="auto"/>
          <w:kern w:val="0"/>
          <w:sz w:val="32"/>
          <w:szCs w:val="32"/>
          <w:highlight w:val="none"/>
          <w:lang w:val="en-US" w:eastAsia="zh-CN" w:bidi="ar"/>
        </w:rPr>
        <w:t>1</w:t>
      </w:r>
      <w:r>
        <w:rPr>
          <w:rFonts w:hint="default" w:ascii="方正仿宋_GBK" w:hAnsi="方正仿宋_GBK" w:eastAsia="方正仿宋_GBK" w:cs="方正仿宋_GBK"/>
          <w:b/>
          <w:bCs w:val="0"/>
          <w:color w:val="auto"/>
          <w:kern w:val="0"/>
          <w:sz w:val="32"/>
          <w:szCs w:val="32"/>
          <w:highlight w:val="none"/>
          <w:lang w:val="en-US" w:eastAsia="zh-CN" w:bidi="ar"/>
        </w:rPr>
        <w:t>0</w:t>
      </w:r>
      <w:r>
        <w:rPr>
          <w:rFonts w:hint="eastAsia" w:ascii="方正仿宋_GBK" w:hAnsi="方正仿宋_GBK" w:eastAsia="方正仿宋_GBK" w:cs="方正仿宋_GBK"/>
          <w:b/>
          <w:bCs w:val="0"/>
          <w:color w:val="auto"/>
          <w:kern w:val="0"/>
          <w:sz w:val="32"/>
          <w:szCs w:val="32"/>
          <w:highlight w:val="none"/>
          <w:lang w:val="en-US" w:eastAsia="zh-CN" w:bidi="ar"/>
        </w:rPr>
        <w:t>4购买土壤样品的工具数量（批）指标：</w:t>
      </w:r>
    </w:p>
    <w:p>
      <w:pPr>
        <w:pageBreakBefore w:val="0"/>
        <w:numPr>
          <w:ilvl w:val="0"/>
          <w:numId w:val="0"/>
        </w:numPr>
        <w:kinsoku/>
        <w:wordWrap/>
        <w:topLinePunct w:val="0"/>
        <w:autoSpaceDE/>
        <w:autoSpaceDN/>
        <w:bidi w:val="0"/>
        <w:spacing w:line="570" w:lineRule="exact"/>
        <w:ind w:firstLine="640" w:firstLineChars="200"/>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经查看项目的验收单该项目购买的土壤样品的工具数量1批，与预期目标一致，根据评分标准，得满分。</w:t>
      </w:r>
    </w:p>
    <w:p>
      <w:pPr>
        <w:pageBreakBefore w:val="0"/>
        <w:kinsoku/>
        <w:wordWrap/>
        <w:topLinePunct w:val="0"/>
        <w:autoSpaceDE/>
        <w:autoSpaceDN/>
        <w:bidi w:val="0"/>
        <w:spacing w:line="570" w:lineRule="exact"/>
        <w:ind w:firstLine="643"/>
        <w:jc w:val="both"/>
        <w:rPr>
          <w:rFonts w:hint="eastAsia"/>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bidi="ar"/>
        </w:rPr>
        <w:t>该指标满分为3分，根据评分标准得3分。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bCs w:val="0"/>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（5）C201资金使用合规率（%）指标：</w:t>
      </w:r>
    </w:p>
    <w:p>
      <w:pPr>
        <w:pageBreakBefore w:val="0"/>
        <w:numPr>
          <w:ilvl w:val="0"/>
          <w:numId w:val="0"/>
        </w:numPr>
        <w:kinsoku/>
        <w:wordWrap/>
        <w:topLinePunct w:val="0"/>
        <w:autoSpaceDE/>
        <w:autoSpaceDN/>
        <w:bidi w:val="0"/>
        <w:spacing w:line="570" w:lineRule="exact"/>
        <w:ind w:firstLine="640" w:firstLineChars="200"/>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经查看项目的支付台账、国库集中支付凭证，该项目资金使用合规与预期目标一致，根据评分标准，得满分。</w:t>
      </w:r>
    </w:p>
    <w:p>
      <w:pPr>
        <w:pageBreakBefore w:val="0"/>
        <w:kinsoku/>
        <w:wordWrap/>
        <w:topLinePunct w:val="0"/>
        <w:autoSpaceDE/>
        <w:autoSpaceDN/>
        <w:bidi w:val="0"/>
        <w:spacing w:line="570" w:lineRule="exact"/>
        <w:ind w:firstLine="643"/>
        <w:jc w:val="both"/>
        <w:rPr>
          <w:rFonts w:hint="eastAsia"/>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bidi="ar"/>
        </w:rPr>
        <w:t>该指标满分为10分，根据评分标准得10分。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bCs w:val="0"/>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（6）C301项目开工率（%）指标：</w:t>
      </w:r>
    </w:p>
    <w:p>
      <w:pPr>
        <w:pageBreakBefore w:val="0"/>
        <w:numPr>
          <w:ilvl w:val="0"/>
          <w:numId w:val="0"/>
        </w:numPr>
        <w:kinsoku/>
        <w:wordWrap/>
        <w:topLinePunct w:val="0"/>
        <w:autoSpaceDE/>
        <w:autoSpaceDN/>
        <w:bidi w:val="0"/>
        <w:spacing w:line="570" w:lineRule="exact"/>
        <w:ind w:firstLine="640" w:firstLineChars="200"/>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经查看项目的合同、国库集中支付凭证、验收单可以证明该项目及时开始，与预期目标一致，根据评分标准，得满分。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该指标满分为5分，根据评分标准得5分。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bCs w:val="0"/>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（7）</w:t>
      </w:r>
      <w:r>
        <w:rPr>
          <w:rFonts w:hint="default" w:ascii="方正仿宋_GBK" w:hAnsi="方正仿宋_GBK" w:eastAsia="方正仿宋_GBK" w:cs="方正仿宋_GBK"/>
          <w:b/>
          <w:bCs w:val="0"/>
          <w:color w:val="auto"/>
          <w:kern w:val="0"/>
          <w:sz w:val="32"/>
          <w:szCs w:val="32"/>
          <w:highlight w:val="none"/>
          <w:lang w:val="en-US" w:eastAsia="zh-CN" w:bidi="ar"/>
        </w:rPr>
        <w:t>C</w:t>
      </w:r>
      <w:r>
        <w:rPr>
          <w:rFonts w:hint="eastAsia" w:ascii="方正仿宋_GBK" w:hAnsi="方正仿宋_GBK" w:eastAsia="方正仿宋_GBK" w:cs="方正仿宋_GBK"/>
          <w:b/>
          <w:bCs w:val="0"/>
          <w:color w:val="auto"/>
          <w:kern w:val="0"/>
          <w:sz w:val="32"/>
          <w:szCs w:val="32"/>
          <w:highlight w:val="none"/>
          <w:lang w:val="en-US" w:eastAsia="zh-CN" w:bidi="ar"/>
        </w:rPr>
        <w:t>302项目完工时间指标：</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经查看项目的支付台账，验收单可以证明该项目的项目完工时间2022年12月，根据评分标准，得满分。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该指标满分为5分，根据评分标准得5分。</w:t>
      </w:r>
    </w:p>
    <w:p>
      <w:pPr>
        <w:pageBreakBefore w:val="0"/>
        <w:tabs>
          <w:tab w:val="left" w:pos="615"/>
        </w:tabs>
        <w:kinsoku/>
        <w:wordWrap/>
        <w:topLinePunct w:val="0"/>
        <w:autoSpaceDE/>
        <w:autoSpaceDN/>
        <w:bidi w:val="0"/>
        <w:spacing w:line="570" w:lineRule="exact"/>
        <w:ind w:firstLine="643"/>
        <w:jc w:val="both"/>
        <w:rPr>
          <w:rFonts w:hint="eastAsia" w:ascii="方正仿宋_GBK" w:hAnsi="方正仿宋_GBK" w:eastAsia="方正仿宋_GBK" w:cs="方正仿宋_GBK"/>
          <w:b/>
          <w:bCs w:val="0"/>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ab/>
      </w:r>
      <w:r>
        <w:rPr>
          <w:rFonts w:hint="eastAsia" w:ascii="方正仿宋_GBK" w:hAnsi="方正仿宋_GBK" w:eastAsia="方正仿宋_GBK" w:cs="方正仿宋_GBK"/>
          <w:b/>
          <w:bCs w:val="0"/>
          <w:color w:val="auto"/>
          <w:kern w:val="0"/>
          <w:sz w:val="32"/>
          <w:szCs w:val="32"/>
          <w:highlight w:val="none"/>
          <w:lang w:val="en-US" w:eastAsia="zh-CN" w:bidi="ar"/>
        </w:rPr>
        <w:t>（8）C401采集土壤样品流转费（万元）指标：</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经查看《国库集中支付凭证》、政采云验收单、会议纪要可以证明该项目的采集土壤样品流转费8.35万元，根据评分标准，得满分。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该指标满分为2分，根据评分标准得2分。</w:t>
      </w:r>
    </w:p>
    <w:p>
      <w:pPr>
        <w:pageBreakBefore w:val="0"/>
        <w:numPr>
          <w:ilvl w:val="0"/>
          <w:numId w:val="0"/>
        </w:numPr>
        <w:kinsoku/>
        <w:wordWrap/>
        <w:topLinePunct w:val="0"/>
        <w:autoSpaceDE/>
        <w:autoSpaceDN/>
        <w:bidi w:val="0"/>
        <w:spacing w:line="570" w:lineRule="exact"/>
        <w:ind w:firstLine="643" w:firstLineChars="200"/>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（9）</w:t>
      </w:r>
      <w:r>
        <w:rPr>
          <w:rFonts w:hint="default" w:ascii="方正仿宋_GBK" w:hAnsi="方正仿宋_GBK" w:eastAsia="方正仿宋_GBK" w:cs="方正仿宋_GBK"/>
          <w:b/>
          <w:bCs w:val="0"/>
          <w:color w:val="auto"/>
          <w:kern w:val="0"/>
          <w:sz w:val="32"/>
          <w:szCs w:val="32"/>
          <w:highlight w:val="none"/>
          <w:lang w:val="en-US" w:eastAsia="zh-CN" w:bidi="ar"/>
        </w:rPr>
        <w:t>C</w:t>
      </w:r>
      <w:r>
        <w:rPr>
          <w:rFonts w:hint="eastAsia" w:ascii="方正仿宋_GBK" w:hAnsi="方正仿宋_GBK" w:eastAsia="方正仿宋_GBK" w:cs="方正仿宋_GBK"/>
          <w:b/>
          <w:bCs w:val="0"/>
          <w:color w:val="auto"/>
          <w:kern w:val="0"/>
          <w:sz w:val="32"/>
          <w:szCs w:val="32"/>
          <w:highlight w:val="none"/>
          <w:lang w:val="en-US" w:eastAsia="zh-CN" w:bidi="ar"/>
        </w:rPr>
        <w:t>402土壤样品检测分析费用（万元）指标：</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经查看项目的合同、支付凭证及会议纪要，已将资金全额拨付新疆农业科学院土壤肥料与农业节水研究所，根据评分标准，得满分。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该指标满分为3分，根据评分标准得3分。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bCs w:val="0"/>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（10）</w:t>
      </w:r>
      <w:r>
        <w:rPr>
          <w:rFonts w:hint="default" w:ascii="方正仿宋_GBK" w:hAnsi="方正仿宋_GBK" w:eastAsia="方正仿宋_GBK" w:cs="方正仿宋_GBK"/>
          <w:b/>
          <w:bCs w:val="0"/>
          <w:color w:val="auto"/>
          <w:kern w:val="0"/>
          <w:sz w:val="32"/>
          <w:szCs w:val="32"/>
          <w:highlight w:val="none"/>
          <w:lang w:val="en-US" w:eastAsia="zh-CN" w:bidi="ar"/>
        </w:rPr>
        <w:t>C</w:t>
      </w:r>
      <w:r>
        <w:rPr>
          <w:rFonts w:hint="eastAsia" w:ascii="方正仿宋_GBK" w:hAnsi="方正仿宋_GBK" w:eastAsia="方正仿宋_GBK" w:cs="方正仿宋_GBK"/>
          <w:b/>
          <w:bCs w:val="0"/>
          <w:color w:val="auto"/>
          <w:kern w:val="0"/>
          <w:sz w:val="32"/>
          <w:szCs w:val="32"/>
          <w:highlight w:val="none"/>
          <w:lang w:val="en-US" w:eastAsia="zh-CN" w:bidi="ar"/>
        </w:rPr>
        <w:t>403购置取土壤样品的耗材成本（万元/批）指标：</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经查看项目的支付台账，验收单可以证明该项目的购置取土壤样品的耗材成本1.474万元/批，根据评分标准，得满分。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该指标满分为2分，根据评分标准得2分。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bCs w:val="0"/>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（11）</w:t>
      </w:r>
      <w:r>
        <w:rPr>
          <w:rFonts w:hint="default" w:ascii="方正仿宋_GBK" w:hAnsi="方正仿宋_GBK" w:eastAsia="方正仿宋_GBK" w:cs="方正仿宋_GBK"/>
          <w:b/>
          <w:bCs w:val="0"/>
          <w:color w:val="auto"/>
          <w:kern w:val="0"/>
          <w:sz w:val="32"/>
          <w:szCs w:val="32"/>
          <w:highlight w:val="none"/>
          <w:lang w:val="en-US" w:eastAsia="zh-CN" w:bidi="ar"/>
        </w:rPr>
        <w:t>C</w:t>
      </w:r>
      <w:r>
        <w:rPr>
          <w:rFonts w:hint="eastAsia" w:ascii="方正仿宋_GBK" w:hAnsi="方正仿宋_GBK" w:eastAsia="方正仿宋_GBK" w:cs="方正仿宋_GBK"/>
          <w:b/>
          <w:bCs w:val="0"/>
          <w:color w:val="auto"/>
          <w:kern w:val="0"/>
          <w:sz w:val="32"/>
          <w:szCs w:val="32"/>
          <w:highlight w:val="none"/>
          <w:lang w:val="en-US" w:eastAsia="zh-CN" w:bidi="ar"/>
        </w:rPr>
        <w:t>404购买土壤样品的工具成本（万元/批）指标：</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经查看项目的支付台账，验收单可以证明该项目的购买土壤样品的工具成本8万元/批，根据评分标准，得满分。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该指标满分为3分，根据评分标准得3分。</w:t>
      </w:r>
    </w:p>
    <w:p>
      <w:pPr>
        <w:pStyle w:val="37"/>
        <w:keepNext/>
        <w:keepLines/>
        <w:pageBreakBefore w:val="0"/>
        <w:widowControl w:val="0"/>
        <w:kinsoku/>
        <w:wordWrap/>
        <w:overflowPunct/>
        <w:topLinePunct w:val="0"/>
        <w:autoSpaceDE/>
        <w:autoSpaceDN/>
        <w:bidi w:val="0"/>
        <w:adjustRightInd/>
        <w:snapToGrid/>
        <w:spacing w:line="570" w:lineRule="exact"/>
        <w:ind w:left="560"/>
        <w:jc w:val="both"/>
        <w:textAlignment w:val="auto"/>
        <w:rPr>
          <w:rFonts w:hint="eastAsia" w:ascii="方正楷体_GBK" w:hAnsi="方正楷体_GBK" w:eastAsia="方正楷体_GBK" w:cs="方正楷体_GBK"/>
          <w:b/>
          <w:bCs w:val="0"/>
          <w:color w:val="auto"/>
          <w:kern w:val="0"/>
          <w:sz w:val="32"/>
          <w:szCs w:val="32"/>
          <w:highlight w:val="none"/>
          <w:lang w:val="en-US" w:eastAsia="zh-CN" w:bidi="ar"/>
        </w:rPr>
      </w:pPr>
      <w:bookmarkStart w:id="119" w:name="_Toc3137_WPSOffice_Level2"/>
      <w:r>
        <w:rPr>
          <w:rFonts w:hint="eastAsia" w:ascii="方正楷体_GBK" w:hAnsi="方正楷体_GBK" w:eastAsia="方正楷体_GBK" w:cs="方正楷体_GBK"/>
          <w:b/>
          <w:bCs w:val="0"/>
          <w:color w:val="auto"/>
          <w:kern w:val="0"/>
          <w:sz w:val="32"/>
          <w:szCs w:val="32"/>
          <w:highlight w:val="none"/>
          <w:lang w:val="en-US" w:eastAsia="zh-CN" w:bidi="ar"/>
        </w:rPr>
        <w:t>（四）项目效益情况</w:t>
      </w:r>
      <w:bookmarkEnd w:id="119"/>
    </w:p>
    <w:p>
      <w:pPr>
        <w:keepNext w:val="0"/>
        <w:keepLines w:val="0"/>
        <w:pageBreakBefore w:val="0"/>
        <w:widowControl/>
        <w:kinsoku/>
        <w:wordWrap/>
        <w:overflowPunct/>
        <w:topLinePunct w:val="0"/>
        <w:autoSpaceDE/>
        <w:autoSpaceDN/>
        <w:bidi w:val="0"/>
        <w:adjustRightInd/>
        <w:snapToGrid/>
        <w:spacing w:before="0" w:beforeAutospacing="0" w:after="0" w:afterAutospacing="0" w:line="570" w:lineRule="exact"/>
        <w:ind w:firstLine="640" w:firstLineChars="200"/>
        <w:jc w:val="center"/>
        <w:textAlignment w:val="baseline"/>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项目</w:t>
      </w:r>
      <w:r>
        <w:rPr>
          <w:rFonts w:hint="eastAsia" w:ascii="方正仿宋_GBK" w:hAnsi="方正仿宋_GBK" w:eastAsia="方正仿宋_GBK" w:cs="方正仿宋_GBK"/>
          <w:color w:val="auto"/>
          <w:sz w:val="32"/>
          <w:szCs w:val="32"/>
          <w:highlight w:val="none"/>
          <w:lang w:eastAsia="zh-CN"/>
        </w:rPr>
        <w:t>效益</w:t>
      </w:r>
      <w:r>
        <w:rPr>
          <w:rFonts w:hint="eastAsia" w:ascii="方正仿宋_GBK" w:hAnsi="方正仿宋_GBK" w:eastAsia="方正仿宋_GBK" w:cs="方正仿宋_GBK"/>
          <w:color w:val="auto"/>
          <w:sz w:val="32"/>
          <w:szCs w:val="32"/>
          <w:highlight w:val="none"/>
        </w:rPr>
        <w:t>类指标包括</w:t>
      </w:r>
      <w:r>
        <w:rPr>
          <w:rFonts w:hint="eastAsia" w:ascii="方正仿宋_GBK" w:hAnsi="方正仿宋_GBK" w:eastAsia="方正仿宋_GBK" w:cs="方正仿宋_GBK"/>
          <w:color w:val="auto"/>
          <w:sz w:val="32"/>
          <w:szCs w:val="32"/>
          <w:highlight w:val="none"/>
          <w:lang w:eastAsia="zh-CN"/>
        </w:rPr>
        <w:t>生态效益，</w:t>
      </w:r>
      <w:r>
        <w:rPr>
          <w:rFonts w:hint="eastAsia" w:ascii="方正仿宋_GBK" w:hAnsi="方正仿宋_GBK" w:eastAsia="方正仿宋_GBK" w:cs="方正仿宋_GBK"/>
          <w:color w:val="auto"/>
          <w:sz w:val="32"/>
          <w:szCs w:val="32"/>
          <w:highlight w:val="none"/>
          <w:lang w:val="en-US" w:eastAsia="zh-CN"/>
        </w:rPr>
        <w:t>可持续影响分析</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lang w:val="en-US" w:eastAsia="zh-CN"/>
        </w:rPr>
        <w:t>满意度分析三个</w:t>
      </w:r>
      <w:r>
        <w:rPr>
          <w:rFonts w:hint="eastAsia" w:ascii="方正仿宋_GBK" w:hAnsi="方正仿宋_GBK" w:eastAsia="方正仿宋_GBK" w:cs="方正仿宋_GBK"/>
          <w:color w:val="auto"/>
          <w:sz w:val="32"/>
          <w:szCs w:val="32"/>
          <w:highlight w:val="none"/>
        </w:rPr>
        <w:t>方面的内容，由</w:t>
      </w:r>
      <w:r>
        <w:rPr>
          <w:rFonts w:hint="eastAsia" w:ascii="方正仿宋_GBK" w:hAnsi="方正仿宋_GBK" w:eastAsia="方正仿宋_GBK" w:cs="方正仿宋_GBK"/>
          <w:color w:val="auto"/>
          <w:sz w:val="32"/>
          <w:szCs w:val="32"/>
          <w:highlight w:val="none"/>
          <w:lang w:val="en-US" w:eastAsia="zh-CN"/>
        </w:rPr>
        <w:t>3</w:t>
      </w:r>
      <w:r>
        <w:rPr>
          <w:rFonts w:hint="eastAsia" w:ascii="方正仿宋_GBK" w:hAnsi="方正仿宋_GBK" w:eastAsia="方正仿宋_GBK" w:cs="方正仿宋_GBK"/>
          <w:color w:val="auto"/>
          <w:sz w:val="32"/>
          <w:szCs w:val="32"/>
          <w:highlight w:val="none"/>
        </w:rPr>
        <w:t>个</w:t>
      </w:r>
      <w:r>
        <w:rPr>
          <w:rFonts w:hint="eastAsia" w:ascii="方正仿宋_GBK" w:hAnsi="方正仿宋_GBK" w:eastAsia="方正仿宋_GBK" w:cs="方正仿宋_GBK"/>
          <w:color w:val="auto"/>
          <w:sz w:val="32"/>
          <w:szCs w:val="32"/>
          <w:highlight w:val="none"/>
          <w:lang w:eastAsia="zh-CN"/>
        </w:rPr>
        <w:t>三</w:t>
      </w:r>
      <w:r>
        <w:rPr>
          <w:rFonts w:hint="eastAsia" w:ascii="方正仿宋_GBK" w:hAnsi="方正仿宋_GBK" w:eastAsia="方正仿宋_GBK" w:cs="方正仿宋_GBK"/>
          <w:color w:val="auto"/>
          <w:sz w:val="32"/>
          <w:szCs w:val="32"/>
          <w:highlight w:val="none"/>
        </w:rPr>
        <w:t>级指标构成，权重分为</w:t>
      </w:r>
      <w:r>
        <w:rPr>
          <w:rFonts w:hint="eastAsia" w:ascii="方正仿宋_GBK" w:hAnsi="方正仿宋_GBK" w:eastAsia="方正仿宋_GBK" w:cs="方正仿宋_GBK"/>
          <w:color w:val="auto"/>
          <w:sz w:val="32"/>
          <w:szCs w:val="32"/>
          <w:highlight w:val="none"/>
          <w:lang w:val="en-US" w:eastAsia="zh-CN"/>
        </w:rPr>
        <w:t>20</w:t>
      </w:r>
      <w:r>
        <w:rPr>
          <w:rFonts w:hint="eastAsia" w:ascii="方正仿宋_GBK" w:hAnsi="方正仿宋_GBK" w:eastAsia="方正仿宋_GBK" w:cs="方正仿宋_GBK"/>
          <w:color w:val="auto"/>
          <w:sz w:val="32"/>
          <w:szCs w:val="32"/>
          <w:highlight w:val="none"/>
        </w:rPr>
        <w:t>分，实</w:t>
      </w:r>
    </w:p>
    <w:p>
      <w:pPr>
        <w:keepNext w:val="0"/>
        <w:keepLines w:val="0"/>
        <w:pageBreakBefore w:val="0"/>
        <w:widowControl/>
        <w:kinsoku/>
        <w:wordWrap/>
        <w:overflowPunct/>
        <w:topLinePunct w:val="0"/>
        <w:autoSpaceDE/>
        <w:autoSpaceDN/>
        <w:bidi w:val="0"/>
        <w:adjustRightInd/>
        <w:snapToGrid/>
        <w:spacing w:before="0" w:beforeAutospacing="0" w:after="0" w:afterAutospacing="0" w:line="570" w:lineRule="exact"/>
        <w:jc w:val="both"/>
        <w:textAlignment w:val="baseline"/>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color w:val="auto"/>
          <w:sz w:val="32"/>
          <w:szCs w:val="32"/>
          <w:highlight w:val="none"/>
        </w:rPr>
        <w:t>际得分</w:t>
      </w:r>
      <w:r>
        <w:rPr>
          <w:rFonts w:hint="eastAsia" w:ascii="方正仿宋_GBK" w:hAnsi="方正仿宋_GBK" w:eastAsia="方正仿宋_GBK" w:cs="方正仿宋_GBK"/>
          <w:color w:val="auto"/>
          <w:sz w:val="32"/>
          <w:szCs w:val="32"/>
          <w:highlight w:val="none"/>
          <w:lang w:val="en-US" w:eastAsia="zh-CN"/>
        </w:rPr>
        <w:t>19.28</w:t>
      </w:r>
      <w:r>
        <w:rPr>
          <w:rFonts w:hint="eastAsia" w:ascii="方正仿宋_GBK" w:hAnsi="方正仿宋_GBK" w:eastAsia="方正仿宋_GBK" w:cs="方正仿宋_GBK"/>
          <w:color w:val="auto"/>
          <w:sz w:val="32"/>
          <w:szCs w:val="32"/>
          <w:highlight w:val="none"/>
        </w:rPr>
        <w:t>分，得分率为</w:t>
      </w:r>
      <w:r>
        <w:rPr>
          <w:rFonts w:hint="eastAsia" w:ascii="方正仿宋_GBK" w:hAnsi="方正仿宋_GBK" w:eastAsia="方正仿宋_GBK" w:cs="方正仿宋_GBK"/>
          <w:color w:val="auto"/>
          <w:sz w:val="32"/>
          <w:szCs w:val="32"/>
          <w:highlight w:val="none"/>
          <w:lang w:val="en-US" w:eastAsia="zh-CN"/>
        </w:rPr>
        <w:t>96.4</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b w:val="0"/>
          <w:bCs/>
          <w:color w:val="auto"/>
          <w:kern w:val="0"/>
          <w:sz w:val="32"/>
          <w:szCs w:val="32"/>
          <w:highlight w:val="none"/>
          <w:lang w:val="en-US" w:eastAsia="zh-CN"/>
        </w:rPr>
        <w:t>各指标业绩值和绩效分值如下表所示：</w:t>
      </w:r>
    </w:p>
    <w:p>
      <w:pPr>
        <w:pStyle w:val="7"/>
        <w:pageBreakBefore w:val="0"/>
        <w:kinsoku/>
        <w:wordWrap/>
        <w:bidi w:val="0"/>
        <w:spacing w:line="570" w:lineRule="exact"/>
        <w:jc w:val="both"/>
        <w:rPr>
          <w:rFonts w:hint="eastAsia" w:ascii="方正仿宋_GBK" w:hAnsi="方正仿宋_GBK" w:eastAsia="方正仿宋_GBK" w:cs="方正仿宋_GBK"/>
          <w:b/>
          <w:bCs/>
          <w:color w:val="auto"/>
          <w:kern w:val="0"/>
          <w:sz w:val="32"/>
          <w:szCs w:val="32"/>
          <w:highlight w:val="none"/>
          <w:lang w:val="en-US" w:eastAsia="zh-CN" w:bidi="ar"/>
        </w:rPr>
      </w:pPr>
      <w:r>
        <w:rPr>
          <w:rFonts w:hint="eastAsia" w:ascii="方正仿宋_GBK" w:hAnsi="方正仿宋_GBK" w:eastAsia="方正仿宋_GBK" w:cs="方正仿宋_GBK"/>
          <w:b/>
          <w:bCs/>
          <w:color w:val="auto"/>
          <w:kern w:val="0"/>
          <w:sz w:val="32"/>
          <w:szCs w:val="32"/>
          <w:highlight w:val="none"/>
          <w:lang w:val="en-US" w:eastAsia="zh-CN" w:bidi="ar"/>
        </w:rPr>
        <w:t>表4-4：项目效益指标及分值</w:t>
      </w:r>
    </w:p>
    <w:tbl>
      <w:tblPr>
        <w:tblStyle w:val="21"/>
        <w:tblW w:w="9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120"/>
        <w:gridCol w:w="1859"/>
        <w:gridCol w:w="1397"/>
        <w:gridCol w:w="1152"/>
        <w:gridCol w:w="652"/>
        <w:gridCol w:w="792"/>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120"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Times New Roman" w:hAnsi="Times New Roman" w:eastAsia="仿宋_GB2312" w:cs="Times New Roman"/>
                <w:color w:val="auto"/>
                <w:kern w:val="0"/>
                <w:sz w:val="22"/>
                <w:highlight w:val="none"/>
              </w:rPr>
            </w:pPr>
            <w:r>
              <w:rPr>
                <w:rFonts w:hint="eastAsia" w:ascii="宋体" w:hAnsi="宋体" w:eastAsia="宋体" w:cs="宋体"/>
                <w:b/>
                <w:i w:val="0"/>
                <w:color w:val="000000"/>
                <w:kern w:val="0"/>
                <w:sz w:val="22"/>
                <w:szCs w:val="22"/>
                <w:highlight w:val="none"/>
                <w:u w:val="none"/>
                <w:lang w:val="en-US" w:eastAsia="zh-CN" w:bidi="ar"/>
              </w:rPr>
              <w:t>一级指标</w:t>
            </w:r>
          </w:p>
        </w:tc>
        <w:tc>
          <w:tcPr>
            <w:tcW w:w="1120"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Times New Roman" w:hAnsi="Times New Roman" w:eastAsia="仿宋_GB2312" w:cs="Times New Roman"/>
                <w:color w:val="auto"/>
                <w:kern w:val="0"/>
                <w:sz w:val="22"/>
                <w:highlight w:val="none"/>
              </w:rPr>
            </w:pPr>
            <w:r>
              <w:rPr>
                <w:rFonts w:hint="eastAsia" w:ascii="宋体" w:hAnsi="宋体" w:eastAsia="宋体" w:cs="宋体"/>
                <w:b/>
                <w:i w:val="0"/>
                <w:color w:val="000000"/>
                <w:kern w:val="0"/>
                <w:sz w:val="22"/>
                <w:szCs w:val="22"/>
                <w:highlight w:val="none"/>
                <w:u w:val="none"/>
                <w:lang w:val="en-US" w:eastAsia="zh-CN" w:bidi="ar"/>
              </w:rPr>
              <w:t>二级指标</w:t>
            </w:r>
          </w:p>
        </w:tc>
        <w:tc>
          <w:tcPr>
            <w:tcW w:w="1859"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Style w:val="33"/>
                <w:rFonts w:hint="default" w:ascii="Times New Roman" w:hAnsi="Times New Roman" w:eastAsia="仿宋_GB2312" w:cs="Times New Roman"/>
                <w:color w:val="auto"/>
                <w:highlight w:val="none"/>
              </w:rPr>
            </w:pPr>
            <w:r>
              <w:rPr>
                <w:rFonts w:hint="eastAsia" w:ascii="宋体" w:hAnsi="宋体" w:eastAsia="宋体" w:cs="宋体"/>
                <w:b/>
                <w:i w:val="0"/>
                <w:color w:val="000000"/>
                <w:kern w:val="0"/>
                <w:sz w:val="22"/>
                <w:szCs w:val="22"/>
                <w:highlight w:val="none"/>
                <w:u w:val="none"/>
                <w:lang w:val="en-US" w:eastAsia="zh-CN" w:bidi="ar"/>
              </w:rPr>
              <w:t>三级指标</w:t>
            </w:r>
          </w:p>
        </w:tc>
        <w:tc>
          <w:tcPr>
            <w:tcW w:w="1397"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Style w:val="33"/>
                <w:rFonts w:hint="eastAsia" w:ascii="Times New Roman" w:hAnsi="Times New Roman" w:eastAsia="仿宋_GB2312" w:cs="Times New Roman"/>
                <w:color w:val="auto"/>
                <w:highlight w:val="none"/>
                <w:lang w:val="en-US" w:eastAsia="zh-CN"/>
              </w:rPr>
            </w:pPr>
            <w:r>
              <w:rPr>
                <w:rFonts w:hint="eastAsia" w:ascii="宋体" w:hAnsi="宋体" w:eastAsia="宋体" w:cs="宋体"/>
                <w:b/>
                <w:i w:val="0"/>
                <w:color w:val="000000"/>
                <w:kern w:val="0"/>
                <w:sz w:val="22"/>
                <w:szCs w:val="22"/>
                <w:highlight w:val="none"/>
                <w:u w:val="none"/>
                <w:lang w:val="en-US" w:eastAsia="zh-CN" w:bidi="ar"/>
              </w:rPr>
              <w:t>标杆值</w:t>
            </w:r>
          </w:p>
        </w:tc>
        <w:tc>
          <w:tcPr>
            <w:tcW w:w="1152"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Style w:val="33"/>
                <w:rFonts w:hint="eastAsia" w:ascii="Times New Roman" w:hAnsi="Times New Roman" w:eastAsia="仿宋_GB2312" w:cs="Times New Roman"/>
                <w:color w:val="auto"/>
                <w:highlight w:val="none"/>
                <w:lang w:val="en-US" w:eastAsia="zh-CN"/>
              </w:rPr>
            </w:pPr>
            <w:r>
              <w:rPr>
                <w:rFonts w:hint="eastAsia" w:ascii="宋体" w:hAnsi="宋体" w:eastAsia="宋体" w:cs="宋体"/>
                <w:b/>
                <w:i w:val="0"/>
                <w:color w:val="000000"/>
                <w:kern w:val="0"/>
                <w:sz w:val="22"/>
                <w:szCs w:val="22"/>
                <w:highlight w:val="none"/>
                <w:u w:val="none"/>
                <w:lang w:val="en-US" w:eastAsia="zh-CN" w:bidi="ar"/>
              </w:rPr>
              <w:t>业绩值</w:t>
            </w:r>
          </w:p>
        </w:tc>
        <w:tc>
          <w:tcPr>
            <w:tcW w:w="652"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权重</w:t>
            </w:r>
          </w:p>
        </w:tc>
        <w:tc>
          <w:tcPr>
            <w:tcW w:w="792"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Style w:val="33"/>
                <w:rFonts w:hint="eastAsia" w:ascii="Times New Roman" w:hAnsi="Times New Roman" w:eastAsia="仿宋_GB2312" w:cs="Times New Roman"/>
                <w:color w:val="auto"/>
                <w:highlight w:val="none"/>
                <w:lang w:val="en-US" w:eastAsia="zh-CN"/>
              </w:rPr>
            </w:pPr>
            <w:r>
              <w:rPr>
                <w:rFonts w:hint="eastAsia" w:ascii="宋体" w:hAnsi="宋体" w:eastAsia="宋体" w:cs="宋体"/>
                <w:b/>
                <w:i w:val="0"/>
                <w:color w:val="000000"/>
                <w:kern w:val="0"/>
                <w:sz w:val="22"/>
                <w:szCs w:val="22"/>
                <w:highlight w:val="none"/>
                <w:u w:val="none"/>
                <w:lang w:val="en-US" w:eastAsia="zh-CN" w:bidi="ar"/>
              </w:rPr>
              <w:t>实际得分</w:t>
            </w:r>
          </w:p>
        </w:tc>
        <w:tc>
          <w:tcPr>
            <w:tcW w:w="963" w:type="dxa"/>
            <w:shd w:val="clear" w:color="auto" w:fill="CFCECE" w:themeFill="background2" w:themeFillShade="E5"/>
            <w:noWrap w:val="0"/>
            <w:vAlign w:val="center"/>
          </w:tcPr>
          <w:p>
            <w:pPr>
              <w:keepNext w:val="0"/>
              <w:keepLines w:val="0"/>
              <w:pageBreakBefore w:val="0"/>
              <w:widowControl/>
              <w:suppressLineNumbers w:val="0"/>
              <w:kinsoku/>
              <w:wordWrap/>
              <w:bidi w:val="0"/>
              <w:spacing w:line="570" w:lineRule="exact"/>
              <w:jc w:val="both"/>
              <w:textAlignment w:val="center"/>
              <w:rPr>
                <w:rStyle w:val="33"/>
                <w:rFonts w:hint="eastAsia" w:ascii="Times New Roman" w:hAnsi="Times New Roman" w:eastAsia="仿宋_GB2312" w:cs="Times New Roman"/>
                <w:color w:val="auto"/>
                <w:highlight w:val="none"/>
                <w:lang w:val="en-US" w:eastAsia="zh-CN"/>
              </w:rPr>
            </w:pPr>
            <w:r>
              <w:rPr>
                <w:rFonts w:hint="eastAsia" w:ascii="宋体" w:hAnsi="宋体" w:eastAsia="宋体" w:cs="宋体"/>
                <w:b/>
                <w:i w:val="0"/>
                <w:color w:val="000000"/>
                <w:kern w:val="0"/>
                <w:sz w:val="22"/>
                <w:szCs w:val="22"/>
                <w:highlight w:val="none"/>
                <w:u w:val="none"/>
                <w:lang w:val="en-US" w:eastAsia="zh-CN" w:bidi="ar"/>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120" w:type="dxa"/>
            <w:vMerge w:val="restart"/>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D效益（20）</w:t>
            </w:r>
          </w:p>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1120" w:type="dxa"/>
            <w:vMerge w:val="restart"/>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D1</w:t>
            </w:r>
            <w:r>
              <w:rPr>
                <w:rFonts w:hint="default" w:ascii="宋体" w:hAnsi="宋体" w:eastAsia="宋体" w:cs="宋体"/>
                <w:b/>
                <w:i w:val="0"/>
                <w:color w:val="000000"/>
                <w:kern w:val="0"/>
                <w:sz w:val="22"/>
                <w:szCs w:val="22"/>
                <w:highlight w:val="none"/>
                <w:u w:val="none"/>
                <w:lang w:val="en-US" w:eastAsia="zh-CN" w:bidi="ar"/>
              </w:rPr>
              <w:t xml:space="preserve"> 项目效果（</w:t>
            </w:r>
            <w:r>
              <w:rPr>
                <w:rFonts w:hint="eastAsia" w:ascii="宋体" w:hAnsi="宋体" w:eastAsia="宋体" w:cs="宋体"/>
                <w:b/>
                <w:i w:val="0"/>
                <w:color w:val="000000"/>
                <w:kern w:val="0"/>
                <w:sz w:val="22"/>
                <w:szCs w:val="22"/>
                <w:highlight w:val="none"/>
                <w:u w:val="none"/>
                <w:lang w:val="en-US" w:eastAsia="zh-CN" w:bidi="ar"/>
              </w:rPr>
              <w:t>10</w:t>
            </w:r>
            <w:r>
              <w:rPr>
                <w:rFonts w:hint="default" w:ascii="宋体" w:hAnsi="宋体" w:eastAsia="宋体" w:cs="宋体"/>
                <w:b/>
                <w:i w:val="0"/>
                <w:color w:val="000000"/>
                <w:kern w:val="0"/>
                <w:sz w:val="22"/>
                <w:szCs w:val="22"/>
                <w:highlight w:val="none"/>
                <w:u w:val="none"/>
                <w:lang w:val="en-US" w:eastAsia="zh-CN" w:bidi="ar"/>
              </w:rPr>
              <w:t>）</w:t>
            </w:r>
          </w:p>
        </w:tc>
        <w:tc>
          <w:tcPr>
            <w:tcW w:w="185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D1</w:t>
            </w:r>
            <w:r>
              <w:rPr>
                <w:rFonts w:hint="default" w:ascii="宋体" w:hAnsi="宋体" w:eastAsia="宋体" w:cs="宋体"/>
                <w:b/>
                <w:i w:val="0"/>
                <w:color w:val="000000"/>
                <w:kern w:val="0"/>
                <w:sz w:val="22"/>
                <w:szCs w:val="22"/>
                <w:highlight w:val="none"/>
                <w:u w:val="none"/>
                <w:lang w:val="en-US" w:eastAsia="zh-CN" w:bidi="ar"/>
              </w:rPr>
              <w:t>01 提升土壤资源保护和利用水平</w:t>
            </w:r>
          </w:p>
        </w:tc>
        <w:tc>
          <w:tcPr>
            <w:tcW w:w="1397"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有效提升</w:t>
            </w:r>
          </w:p>
        </w:tc>
        <w:tc>
          <w:tcPr>
            <w:tcW w:w="1152"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有效提升</w:t>
            </w:r>
          </w:p>
        </w:tc>
        <w:tc>
          <w:tcPr>
            <w:tcW w:w="652"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5</w:t>
            </w:r>
          </w:p>
        </w:tc>
        <w:tc>
          <w:tcPr>
            <w:tcW w:w="792"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5</w:t>
            </w:r>
          </w:p>
        </w:tc>
        <w:tc>
          <w:tcPr>
            <w:tcW w:w="963"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12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112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1859"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D1</w:t>
            </w:r>
            <w:r>
              <w:rPr>
                <w:rFonts w:hint="default" w:ascii="宋体" w:hAnsi="宋体" w:eastAsia="宋体" w:cs="宋体"/>
                <w:b/>
                <w:i w:val="0"/>
                <w:color w:val="000000"/>
                <w:kern w:val="0"/>
                <w:sz w:val="22"/>
                <w:szCs w:val="22"/>
                <w:highlight w:val="none"/>
                <w:u w:val="none"/>
                <w:lang w:val="en-US" w:eastAsia="zh-CN" w:bidi="ar"/>
              </w:rPr>
              <w:t>0</w:t>
            </w:r>
            <w:r>
              <w:rPr>
                <w:rFonts w:hint="eastAsia" w:ascii="宋体" w:hAnsi="宋体" w:eastAsia="宋体" w:cs="宋体"/>
                <w:b/>
                <w:i w:val="0"/>
                <w:color w:val="000000"/>
                <w:kern w:val="0"/>
                <w:sz w:val="22"/>
                <w:szCs w:val="22"/>
                <w:highlight w:val="none"/>
                <w:u w:val="none"/>
                <w:lang w:val="en-US" w:eastAsia="zh-CN" w:bidi="ar"/>
              </w:rPr>
              <w:t>2推进农业高质量发展</w:t>
            </w:r>
          </w:p>
        </w:tc>
        <w:tc>
          <w:tcPr>
            <w:tcW w:w="1397"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持续推进</w:t>
            </w:r>
          </w:p>
        </w:tc>
        <w:tc>
          <w:tcPr>
            <w:tcW w:w="1152"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持续推进</w:t>
            </w:r>
          </w:p>
        </w:tc>
        <w:tc>
          <w:tcPr>
            <w:tcW w:w="652"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5</w:t>
            </w:r>
          </w:p>
        </w:tc>
        <w:tc>
          <w:tcPr>
            <w:tcW w:w="792"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5</w:t>
            </w:r>
          </w:p>
        </w:tc>
        <w:tc>
          <w:tcPr>
            <w:tcW w:w="963"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3" w:hRule="atLeast"/>
          <w:jc w:val="center"/>
        </w:trPr>
        <w:tc>
          <w:tcPr>
            <w:tcW w:w="1120" w:type="dxa"/>
            <w:vMerge w:val="continue"/>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p>
        </w:tc>
        <w:tc>
          <w:tcPr>
            <w:tcW w:w="1120"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default" w:ascii="宋体" w:hAnsi="宋体" w:eastAsia="宋体" w:cs="宋体"/>
                <w:b/>
                <w:i w:val="0"/>
                <w:color w:val="000000"/>
                <w:kern w:val="0"/>
                <w:sz w:val="22"/>
                <w:szCs w:val="22"/>
                <w:highlight w:val="none"/>
                <w:u w:val="none"/>
                <w:lang w:val="en-US" w:eastAsia="zh-CN" w:bidi="ar"/>
              </w:rPr>
              <w:t>D</w:t>
            </w:r>
            <w:r>
              <w:rPr>
                <w:rFonts w:hint="eastAsia" w:ascii="宋体" w:hAnsi="宋体" w:cs="宋体"/>
                <w:b/>
                <w:i w:val="0"/>
                <w:color w:val="000000"/>
                <w:kern w:val="0"/>
                <w:sz w:val="22"/>
                <w:szCs w:val="22"/>
                <w:highlight w:val="none"/>
                <w:u w:val="none"/>
                <w:lang w:val="en-US" w:eastAsia="zh-CN" w:bidi="ar"/>
              </w:rPr>
              <w:t>2</w:t>
            </w:r>
            <w:r>
              <w:rPr>
                <w:rFonts w:hint="default" w:ascii="宋体" w:hAnsi="宋体" w:eastAsia="宋体" w:cs="宋体"/>
                <w:b/>
                <w:i w:val="0"/>
                <w:color w:val="000000"/>
                <w:kern w:val="0"/>
                <w:sz w:val="22"/>
                <w:szCs w:val="22"/>
                <w:highlight w:val="none"/>
                <w:u w:val="none"/>
                <w:lang w:val="en-US" w:eastAsia="zh-CN" w:bidi="ar"/>
              </w:rPr>
              <w:t xml:space="preserve"> 满意度（</w:t>
            </w:r>
            <w:r>
              <w:rPr>
                <w:rFonts w:hint="eastAsia" w:ascii="宋体" w:hAnsi="宋体" w:eastAsia="宋体" w:cs="宋体"/>
                <w:b/>
                <w:i w:val="0"/>
                <w:color w:val="000000"/>
                <w:kern w:val="0"/>
                <w:sz w:val="22"/>
                <w:szCs w:val="22"/>
                <w:highlight w:val="none"/>
                <w:u w:val="none"/>
                <w:lang w:val="en-US" w:eastAsia="zh-CN" w:bidi="ar"/>
              </w:rPr>
              <w:t>10</w:t>
            </w:r>
            <w:r>
              <w:rPr>
                <w:rFonts w:hint="default" w:ascii="宋体" w:hAnsi="宋体" w:eastAsia="宋体" w:cs="宋体"/>
                <w:b/>
                <w:i w:val="0"/>
                <w:color w:val="000000"/>
                <w:kern w:val="0"/>
                <w:sz w:val="22"/>
                <w:szCs w:val="22"/>
                <w:highlight w:val="none"/>
                <w:u w:val="none"/>
                <w:lang w:val="en-US" w:eastAsia="zh-CN" w:bidi="ar"/>
              </w:rPr>
              <w:t>）</w:t>
            </w:r>
          </w:p>
        </w:tc>
        <w:tc>
          <w:tcPr>
            <w:tcW w:w="1859"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default" w:ascii="宋体" w:hAnsi="宋体" w:eastAsia="宋体" w:cs="宋体"/>
                <w:b/>
                <w:i w:val="0"/>
                <w:color w:val="000000"/>
                <w:kern w:val="0"/>
                <w:sz w:val="22"/>
                <w:szCs w:val="22"/>
                <w:highlight w:val="none"/>
                <w:u w:val="none"/>
                <w:lang w:val="en-US" w:eastAsia="zh-CN" w:bidi="ar"/>
              </w:rPr>
              <w:t>D</w:t>
            </w:r>
            <w:r>
              <w:rPr>
                <w:rFonts w:hint="eastAsia" w:ascii="宋体" w:hAnsi="宋体" w:cs="宋体"/>
                <w:b/>
                <w:i w:val="0"/>
                <w:color w:val="000000"/>
                <w:kern w:val="0"/>
                <w:sz w:val="22"/>
                <w:szCs w:val="22"/>
                <w:highlight w:val="none"/>
                <w:u w:val="none"/>
                <w:lang w:val="en-US" w:eastAsia="zh-CN" w:bidi="ar"/>
              </w:rPr>
              <w:t>2</w:t>
            </w:r>
            <w:r>
              <w:rPr>
                <w:rFonts w:hint="default" w:ascii="宋体" w:hAnsi="宋体" w:eastAsia="宋体" w:cs="宋体"/>
                <w:b/>
                <w:i w:val="0"/>
                <w:color w:val="000000"/>
                <w:kern w:val="0"/>
                <w:sz w:val="22"/>
                <w:szCs w:val="22"/>
                <w:highlight w:val="none"/>
                <w:u w:val="none"/>
                <w:lang w:val="en-US" w:eastAsia="zh-CN" w:bidi="ar"/>
              </w:rPr>
              <w:t xml:space="preserve">01受益农户满意度（%） </w:t>
            </w:r>
          </w:p>
        </w:tc>
        <w:tc>
          <w:tcPr>
            <w:tcW w:w="1397"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&gt;=95%</w:t>
            </w:r>
          </w:p>
        </w:tc>
        <w:tc>
          <w:tcPr>
            <w:tcW w:w="1152"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97.13%</w:t>
            </w:r>
          </w:p>
        </w:tc>
        <w:tc>
          <w:tcPr>
            <w:tcW w:w="652"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w:t>
            </w:r>
          </w:p>
        </w:tc>
        <w:tc>
          <w:tcPr>
            <w:tcW w:w="792"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9.28</w:t>
            </w:r>
          </w:p>
        </w:tc>
        <w:tc>
          <w:tcPr>
            <w:tcW w:w="963"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099" w:type="dxa"/>
            <w:gridSpan w:val="3"/>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合计</w:t>
            </w:r>
          </w:p>
        </w:tc>
        <w:tc>
          <w:tcPr>
            <w:tcW w:w="1397"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p>
        </w:tc>
        <w:tc>
          <w:tcPr>
            <w:tcW w:w="1152" w:type="dxa"/>
            <w:noWrap w:val="0"/>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b/>
                <w:i w:val="0"/>
                <w:color w:val="000000"/>
                <w:kern w:val="0"/>
                <w:sz w:val="22"/>
                <w:szCs w:val="22"/>
                <w:highlight w:val="none"/>
                <w:u w:val="none"/>
                <w:lang w:val="en-US" w:eastAsia="zh-CN" w:bidi="ar"/>
              </w:rPr>
            </w:pPr>
          </w:p>
        </w:tc>
        <w:tc>
          <w:tcPr>
            <w:tcW w:w="652"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20</w:t>
            </w:r>
          </w:p>
        </w:tc>
        <w:tc>
          <w:tcPr>
            <w:tcW w:w="792"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20</w:t>
            </w:r>
          </w:p>
        </w:tc>
        <w:tc>
          <w:tcPr>
            <w:tcW w:w="963" w:type="dxa"/>
            <w:noWrap w:val="0"/>
            <w:vAlign w:val="center"/>
          </w:tcPr>
          <w:p>
            <w:pPr>
              <w:keepNext w:val="0"/>
              <w:keepLines w:val="0"/>
              <w:pageBreakBefore w:val="0"/>
              <w:widowControl/>
              <w:suppressLineNumbers w:val="0"/>
              <w:kinsoku/>
              <w:wordWrap/>
              <w:bidi w:val="0"/>
              <w:spacing w:line="570" w:lineRule="exact"/>
              <w:jc w:val="both"/>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100%</w:t>
            </w:r>
          </w:p>
        </w:tc>
      </w:tr>
    </w:tbl>
    <w:p>
      <w:pPr>
        <w:keepNext w:val="0"/>
        <w:keepLines w:val="0"/>
        <w:pageBreakBefore w:val="0"/>
        <w:widowControl/>
        <w:kinsoku/>
        <w:wordWrap/>
        <w:overflowPunct/>
        <w:topLinePunct w:val="0"/>
        <w:autoSpaceDE/>
        <w:autoSpaceDN/>
        <w:bidi w:val="0"/>
        <w:adjustRightInd/>
        <w:snapToGrid/>
        <w:spacing w:before="0" w:beforeAutospacing="0" w:after="0" w:afterAutospacing="0" w:line="570" w:lineRule="exact"/>
        <w:ind w:firstLine="643" w:firstLineChars="200"/>
        <w:jc w:val="both"/>
        <w:textAlignment w:val="baseline"/>
        <w:rPr>
          <w:rFonts w:hint="eastAsia" w:ascii="方正仿宋_GBK" w:hAnsi="方正仿宋_GBK" w:eastAsia="方正仿宋_GBK" w:cs="方正仿宋_GBK"/>
          <w:b/>
          <w:bCs w:val="0"/>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指标得分分析：</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bCs w:val="0"/>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（1）D101 提升土壤资源保护和利用水平指标：</w:t>
      </w:r>
    </w:p>
    <w:p>
      <w:pPr>
        <w:pStyle w:val="8"/>
        <w:pageBreakBefore w:val="0"/>
        <w:kinsoku/>
        <w:wordWrap/>
        <w:topLinePunct w:val="0"/>
        <w:autoSpaceDE/>
        <w:autoSpaceDN/>
        <w:bidi w:val="0"/>
        <w:spacing w:before="0" w:after="0" w:line="570" w:lineRule="exact"/>
        <w:ind w:firstLine="640"/>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经查看项目的工作总结并进行访谈，该项目的土壤资源保护和利用水有效提升，根据评分标准，得满分。</w:t>
      </w:r>
    </w:p>
    <w:p>
      <w:pPr>
        <w:pStyle w:val="31"/>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该指标满分为5分，根据评分标准得5分</w:t>
      </w:r>
    </w:p>
    <w:p>
      <w:pPr>
        <w:pageBreakBefore w:val="0"/>
        <w:kinsoku/>
        <w:wordWrap/>
        <w:topLinePunct w:val="0"/>
        <w:autoSpaceDE/>
        <w:autoSpaceDN/>
        <w:bidi w:val="0"/>
        <w:spacing w:line="570" w:lineRule="exact"/>
        <w:ind w:firstLine="643"/>
        <w:jc w:val="both"/>
        <w:rPr>
          <w:rFonts w:hint="eastAsia" w:ascii="方正仿宋_GBK" w:hAnsi="方正仿宋_GBK" w:eastAsia="方正仿宋_GBK" w:cs="方正仿宋_GBK"/>
          <w:b/>
          <w:bCs w:val="0"/>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（2）D102推进农业高质量发展指标：</w:t>
      </w:r>
    </w:p>
    <w:p>
      <w:pPr>
        <w:pStyle w:val="8"/>
        <w:pageBreakBefore w:val="0"/>
        <w:kinsoku/>
        <w:wordWrap/>
        <w:topLinePunct w:val="0"/>
        <w:autoSpaceDE/>
        <w:autoSpaceDN/>
        <w:bidi w:val="0"/>
        <w:spacing w:before="0" w:after="0" w:line="570" w:lineRule="exact"/>
        <w:ind w:firstLine="640"/>
        <w:jc w:val="both"/>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bidi="ar"/>
        </w:rPr>
        <w:tab/>
      </w:r>
      <w:r>
        <w:rPr>
          <w:rFonts w:hint="eastAsia" w:ascii="方正仿宋_GBK" w:hAnsi="方正仿宋_GBK" w:eastAsia="方正仿宋_GBK" w:cs="方正仿宋_GBK"/>
          <w:b w:val="0"/>
          <w:bCs/>
          <w:color w:val="auto"/>
          <w:kern w:val="0"/>
          <w:sz w:val="32"/>
          <w:szCs w:val="32"/>
          <w:highlight w:val="none"/>
          <w:lang w:val="en-US" w:eastAsia="zh-CN" w:bidi="ar"/>
        </w:rPr>
        <w:t>经查看项目的工作总结并进行访谈，该项目的农业高质量发展指标，预期指标持续推进，实际完成值持续推进，根据评分标准，得满分。</w:t>
      </w:r>
    </w:p>
    <w:p>
      <w:pPr>
        <w:pStyle w:val="31"/>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该指标满分为5分，根据评分标准得5分</w:t>
      </w:r>
    </w:p>
    <w:p>
      <w:pPr>
        <w:pageBreakBefore w:val="0"/>
        <w:kinsoku/>
        <w:wordWrap/>
        <w:overflowPunct w:val="0"/>
        <w:topLinePunct w:val="0"/>
        <w:autoSpaceDE/>
        <w:autoSpaceDN/>
        <w:bidi w:val="0"/>
        <w:spacing w:line="570" w:lineRule="exact"/>
        <w:ind w:firstLine="643"/>
        <w:contextualSpacing/>
        <w:jc w:val="both"/>
        <w:rPr>
          <w:rFonts w:hint="eastAsia" w:ascii="方正仿宋_GBK" w:hAnsi="方正仿宋_GBK" w:eastAsia="方正仿宋_GBK" w:cs="方正仿宋_GBK"/>
          <w:b/>
          <w:bCs w:val="0"/>
          <w:color w:val="auto"/>
          <w:kern w:val="0"/>
          <w:sz w:val="32"/>
          <w:szCs w:val="32"/>
          <w:highlight w:val="none"/>
          <w:lang w:val="en-US" w:eastAsia="zh-CN" w:bidi="ar"/>
        </w:rPr>
      </w:pPr>
      <w:r>
        <w:rPr>
          <w:rFonts w:hint="eastAsia" w:ascii="方正仿宋_GBK" w:hAnsi="方正仿宋_GBK" w:eastAsia="方正仿宋_GBK" w:cs="方正仿宋_GBK"/>
          <w:b/>
          <w:bCs w:val="0"/>
          <w:color w:val="auto"/>
          <w:kern w:val="0"/>
          <w:sz w:val="32"/>
          <w:szCs w:val="32"/>
          <w:highlight w:val="none"/>
          <w:lang w:val="en-US" w:eastAsia="zh-CN" w:bidi="ar"/>
        </w:rPr>
        <w:t>（3）D201受益农户满意度（%） 指标：</w:t>
      </w:r>
    </w:p>
    <w:p>
      <w:pPr>
        <w:pStyle w:val="31"/>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both"/>
        <w:textAlignment w:val="auto"/>
        <w:outlineLvl w:val="2"/>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根据《满意度调查问卷》中“问题6.您对该项目的执行情况的评价？”统计情况，选择选项“A.很满意”202人，选择“B.满意”16人，选择“C.一般”3人，选择“D.较不满意”0人，选择“E.不满意”2人，指标完成率=Σ样本数（“非常满意”×1.0+“满意”×0.8+“一般”×0.6+“较不满意”×0.3+“不满意”×0）/总样本数×100.00%=（202×1+16×0.8+3×0.6+0×0.3）/223×100.00%=97.13%。得分=（实际完成率-60.00%）/（1-60.00%）×指标分值=（97.13%-60.00%）/（1-60.00%）×10=9.28分。</w:t>
      </w:r>
    </w:p>
    <w:p>
      <w:pPr>
        <w:pStyle w:val="31"/>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both"/>
        <w:textAlignment w:val="auto"/>
        <w:outlineLvl w:val="2"/>
        <w:rPr>
          <w:rFonts w:hint="eastAsia" w:ascii="方正仿宋_GBK" w:hAnsi="方正仿宋_GBK" w:eastAsia="方正仿宋_GBK" w:cs="方正仿宋_GBK"/>
          <w:b w:val="0"/>
          <w:bCs/>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rPr>
        <w:t>该指标满分为10分，根据评分标准得9.28分。</w:t>
      </w:r>
    </w:p>
    <w:bookmarkEnd w:id="115"/>
    <w:bookmarkEnd w:id="116"/>
    <w:bookmarkEnd w:id="117"/>
    <w:bookmarkEnd w:id="118"/>
    <w:p>
      <w:pPr>
        <w:pageBreakBefore w:val="0"/>
        <w:numPr>
          <w:ilvl w:val="0"/>
          <w:numId w:val="6"/>
        </w:numPr>
        <w:kinsoku/>
        <w:wordWrap/>
        <w:bidi w:val="0"/>
        <w:spacing w:line="570" w:lineRule="exact"/>
        <w:ind w:firstLine="640" w:firstLineChars="200"/>
        <w:rPr>
          <w:rFonts w:hint="eastAsia" w:ascii="方正黑体_GBK" w:hAnsi="方正黑体_GBK" w:eastAsia="方正黑体_GBK" w:cs="方正黑体_GBK"/>
          <w:b w:val="0"/>
          <w:bCs w:val="0"/>
          <w:sz w:val="32"/>
          <w:szCs w:val="32"/>
          <w:highlight w:val="none"/>
        </w:rPr>
      </w:pPr>
      <w:bookmarkStart w:id="120" w:name="_Toc8982_WPSOffice_Level1"/>
      <w:bookmarkStart w:id="121" w:name="_Toc18945_WPSOffice_Level1"/>
      <w:r>
        <w:rPr>
          <w:rFonts w:hint="eastAsia" w:ascii="方正黑体_GBK" w:hAnsi="方正黑体_GBK" w:eastAsia="方正黑体_GBK" w:cs="方正黑体_GBK"/>
          <w:b w:val="0"/>
          <w:bCs w:val="0"/>
          <w:sz w:val="32"/>
          <w:szCs w:val="32"/>
          <w:highlight w:val="none"/>
        </w:rPr>
        <w:t>主要经验及做法、存在的问题及原因分析</w:t>
      </w:r>
      <w:bookmarkEnd w:id="120"/>
      <w:bookmarkEnd w:id="121"/>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70" w:lineRule="exact"/>
        <w:ind w:right="0" w:rightChars="0" w:firstLine="643" w:firstLineChars="200"/>
        <w:jc w:val="both"/>
        <w:textAlignment w:val="auto"/>
        <w:rPr>
          <w:rFonts w:hint="eastAsia" w:ascii="方正楷体_GBK" w:hAnsi="方正楷体_GBK" w:eastAsia="方正楷体_GBK" w:cs="方正楷体_GBK"/>
          <w:b/>
          <w:bCs w:val="0"/>
          <w:color w:val="auto"/>
          <w:kern w:val="0"/>
          <w:sz w:val="32"/>
          <w:szCs w:val="32"/>
          <w:highlight w:val="none"/>
          <w:u w:val="none"/>
          <w:shd w:val="clear"/>
          <w:lang w:val="en-US" w:eastAsia="zh-CN" w:bidi="ar"/>
        </w:rPr>
      </w:pPr>
      <w:bookmarkStart w:id="122" w:name="_Toc13997_WPSOffice_Level2"/>
      <w:r>
        <w:rPr>
          <w:rFonts w:hint="eastAsia" w:ascii="方正楷体_GBK" w:hAnsi="方正楷体_GBK" w:eastAsia="方正楷体_GBK" w:cs="方正楷体_GBK"/>
          <w:b/>
          <w:bCs w:val="0"/>
          <w:color w:val="auto"/>
          <w:kern w:val="0"/>
          <w:sz w:val="32"/>
          <w:szCs w:val="32"/>
          <w:highlight w:val="none"/>
          <w:u w:val="none"/>
          <w:shd w:val="clear"/>
          <w:lang w:val="en-US" w:eastAsia="zh-CN" w:bidi="ar"/>
        </w:rPr>
        <w:t>（一）主要经验及做法</w:t>
      </w:r>
      <w:bookmarkEnd w:id="122"/>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70" w:lineRule="exact"/>
        <w:ind w:right="0" w:rightChars="0" w:firstLine="640" w:firstLineChars="200"/>
        <w:jc w:val="both"/>
        <w:textAlignment w:val="auto"/>
        <w:rPr>
          <w:rFonts w:hint="eastAsia" w:ascii="方正仿宋_GBK" w:hAnsi="方正仿宋_GBK" w:eastAsia="方正仿宋_GBK" w:cs="方正仿宋_GBK"/>
          <w:b w:val="0"/>
          <w:bCs/>
          <w:color w:val="auto"/>
          <w:kern w:val="0"/>
          <w:sz w:val="32"/>
          <w:szCs w:val="32"/>
          <w:highlight w:val="none"/>
          <w:u w:val="none"/>
          <w:shd w:val="clear"/>
          <w:lang w:val="en-US" w:eastAsia="zh-CN" w:bidi="ar"/>
        </w:rPr>
      </w:pPr>
      <w:r>
        <w:rPr>
          <w:rFonts w:hint="eastAsia" w:ascii="方正仿宋_GBK" w:hAnsi="方正仿宋_GBK" w:eastAsia="方正仿宋_GBK" w:cs="方正仿宋_GBK"/>
          <w:b w:val="0"/>
          <w:bCs/>
          <w:color w:val="auto"/>
          <w:kern w:val="0"/>
          <w:sz w:val="32"/>
          <w:szCs w:val="32"/>
          <w:highlight w:val="none"/>
          <w:u w:val="none"/>
          <w:shd w:val="clear"/>
          <w:lang w:val="en-US" w:eastAsia="zh-CN" w:bidi="ar"/>
        </w:rPr>
        <w:t>领导高度重视。项目在实施过程中成立领导小组，组织了外业采样队，且队员都是通过自治区资格考试后的专业技术人才、不定期地组织各类培训（现场培训、动员大会、面对面宣传、悬挂条幅、发放宣传单），向居民群众宣传土壤普查对耕地的保护和建设，促进农业高质量发展，提高全社会对第三次土壤普查工作的认识。</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70" w:lineRule="exact"/>
        <w:ind w:leftChars="200" w:right="0" w:rightChars="0"/>
        <w:jc w:val="both"/>
        <w:textAlignment w:val="auto"/>
        <w:rPr>
          <w:rFonts w:hint="default" w:ascii="方正楷体_GBK" w:hAnsi="方正楷体_GBK" w:eastAsia="方正楷体_GBK" w:cs="方正楷体_GBK"/>
          <w:b/>
          <w:bCs w:val="0"/>
          <w:color w:val="auto"/>
          <w:kern w:val="0"/>
          <w:sz w:val="32"/>
          <w:szCs w:val="32"/>
          <w:highlight w:val="none"/>
          <w:u w:val="none"/>
          <w:shd w:val="clear"/>
          <w:lang w:val="en-US" w:eastAsia="zh-CN" w:bidi="ar"/>
        </w:rPr>
      </w:pPr>
      <w:bookmarkStart w:id="123" w:name="_Toc13665_WPSOffice_Level2"/>
      <w:r>
        <w:rPr>
          <w:rFonts w:hint="eastAsia" w:ascii="方正楷体_GBK" w:hAnsi="方正楷体_GBK" w:eastAsia="方正楷体_GBK" w:cs="方正楷体_GBK"/>
          <w:b/>
          <w:bCs w:val="0"/>
          <w:color w:val="auto"/>
          <w:kern w:val="0"/>
          <w:sz w:val="32"/>
          <w:szCs w:val="32"/>
          <w:highlight w:val="none"/>
          <w:u w:val="none"/>
          <w:shd w:val="clear"/>
          <w:lang w:val="en-US" w:eastAsia="zh-CN" w:bidi="ar"/>
        </w:rPr>
        <w:t>（二）</w:t>
      </w:r>
      <w:r>
        <w:rPr>
          <w:rFonts w:hint="default" w:ascii="方正楷体_GBK" w:hAnsi="方正楷体_GBK" w:eastAsia="方正楷体_GBK" w:cs="方正楷体_GBK"/>
          <w:b/>
          <w:bCs w:val="0"/>
          <w:color w:val="auto"/>
          <w:kern w:val="0"/>
          <w:sz w:val="32"/>
          <w:szCs w:val="32"/>
          <w:highlight w:val="none"/>
          <w:u w:val="none"/>
          <w:shd w:val="clear"/>
          <w:lang w:val="en-US" w:eastAsia="zh-CN" w:bidi="ar"/>
        </w:rPr>
        <w:t>存在问题与不足</w:t>
      </w:r>
      <w:bookmarkEnd w:id="123"/>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70" w:lineRule="exact"/>
        <w:ind w:right="0" w:rightChars="0" w:firstLine="640" w:firstLineChars="200"/>
        <w:jc w:val="both"/>
        <w:textAlignment w:val="auto"/>
        <w:rPr>
          <w:rFonts w:hint="eastAsia" w:ascii="方正仿宋_GBK" w:hAnsi="方正仿宋_GBK" w:eastAsia="方正仿宋_GBK" w:cs="方正仿宋_GBK"/>
          <w:b w:val="0"/>
          <w:bCs/>
          <w:color w:val="auto"/>
          <w:kern w:val="0"/>
          <w:sz w:val="32"/>
          <w:szCs w:val="32"/>
          <w:highlight w:val="none"/>
          <w:u w:val="none"/>
          <w:shd w:val="clear"/>
          <w:lang w:val="en-US" w:eastAsia="zh-CN" w:bidi="ar"/>
        </w:rPr>
      </w:pPr>
      <w:r>
        <w:rPr>
          <w:rFonts w:hint="eastAsia" w:ascii="方正仿宋_GBK" w:hAnsi="方正仿宋_GBK" w:eastAsia="方正仿宋_GBK" w:cs="方正仿宋_GBK"/>
          <w:b w:val="0"/>
          <w:bCs/>
          <w:color w:val="auto"/>
          <w:kern w:val="0"/>
          <w:sz w:val="32"/>
          <w:szCs w:val="32"/>
          <w:highlight w:val="none"/>
          <w:u w:val="none"/>
          <w:shd w:val="clear"/>
          <w:lang w:val="en-US" w:eastAsia="zh-CN" w:bidi="ar"/>
        </w:rPr>
        <w:t>1.在绩效自评过程中，由于单位人员变动，绩效工作人员流动频繁，部分人员缺乏相关绩效管理专业知识，影响评价质量。</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70" w:lineRule="exact"/>
        <w:ind w:right="0" w:rightChars="0" w:firstLine="640" w:firstLineChars="200"/>
        <w:jc w:val="both"/>
        <w:textAlignment w:val="auto"/>
        <w:rPr>
          <w:rFonts w:hint="eastAsia" w:ascii="方正仿宋_GBK" w:hAnsi="方正仿宋_GBK" w:eastAsia="方正仿宋_GBK" w:cs="方正仿宋_GBK"/>
          <w:b w:val="0"/>
          <w:bCs/>
          <w:color w:val="auto"/>
          <w:kern w:val="0"/>
          <w:sz w:val="32"/>
          <w:szCs w:val="32"/>
          <w:highlight w:val="none"/>
          <w:u w:val="none"/>
          <w:shd w:val="clear"/>
          <w:lang w:val="en-US" w:eastAsia="zh-CN" w:bidi="ar"/>
        </w:rPr>
      </w:pPr>
      <w:r>
        <w:rPr>
          <w:rFonts w:hint="eastAsia" w:ascii="方正仿宋_GBK" w:hAnsi="方正仿宋_GBK" w:eastAsia="方正仿宋_GBK" w:cs="方正仿宋_GBK"/>
          <w:b w:val="0"/>
          <w:bCs/>
          <w:color w:val="auto"/>
          <w:kern w:val="0"/>
          <w:sz w:val="32"/>
          <w:szCs w:val="32"/>
          <w:highlight w:val="none"/>
          <w:u w:val="none"/>
          <w:shd w:val="clear"/>
          <w:lang w:val="en-US" w:eastAsia="zh-CN" w:bidi="ar"/>
        </w:rPr>
        <w:t>2.管理制度健全性有待提高。</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70" w:lineRule="exact"/>
        <w:ind w:right="0" w:rightChars="0" w:firstLine="640" w:firstLineChars="200"/>
        <w:jc w:val="both"/>
        <w:textAlignment w:val="auto"/>
        <w:rPr>
          <w:rFonts w:hint="default" w:ascii="方正仿宋_GBK" w:hAnsi="方正仿宋_GBK" w:eastAsia="方正仿宋_GBK" w:cs="方正仿宋_GBK"/>
          <w:b w:val="0"/>
          <w:bCs/>
          <w:color w:val="auto"/>
          <w:kern w:val="0"/>
          <w:sz w:val="32"/>
          <w:szCs w:val="32"/>
          <w:highlight w:val="none"/>
          <w:u w:val="none"/>
          <w:shd w:val="clear"/>
          <w:lang w:val="en-US" w:eastAsia="zh-CN" w:bidi="ar"/>
        </w:rPr>
      </w:pPr>
      <w:r>
        <w:rPr>
          <w:rFonts w:hint="eastAsia" w:ascii="方正仿宋_GBK" w:hAnsi="方正仿宋_GBK" w:eastAsia="方正仿宋_GBK" w:cs="方正仿宋_GBK"/>
          <w:b w:val="0"/>
          <w:bCs/>
          <w:color w:val="auto"/>
          <w:kern w:val="0"/>
          <w:sz w:val="32"/>
          <w:szCs w:val="32"/>
          <w:highlight w:val="none"/>
          <w:u w:val="none"/>
          <w:shd w:val="clear"/>
          <w:lang w:val="en-US" w:eastAsia="zh-CN" w:bidi="ar"/>
        </w:rPr>
        <w:t>实施单位的业务管理制度还需进一步完善。</w:t>
      </w:r>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70" w:lineRule="exact"/>
        <w:ind w:firstLine="640" w:firstLineChars="200"/>
        <w:jc w:val="both"/>
        <w:textAlignment w:val="baseline"/>
        <w:outlineLvl w:val="0"/>
        <w:rPr>
          <w:rFonts w:hint="eastAsia" w:ascii="方正黑体_GBK" w:hAnsi="方正黑体_GBK" w:eastAsia="方正黑体_GBK" w:cs="方正黑体_GBK"/>
          <w:b w:val="0"/>
          <w:bCs/>
          <w:color w:val="auto"/>
          <w:kern w:val="0"/>
          <w:sz w:val="32"/>
          <w:szCs w:val="32"/>
          <w:highlight w:val="none"/>
          <w:lang w:val="en-US" w:eastAsia="zh-CN"/>
        </w:rPr>
      </w:pPr>
      <w:bookmarkStart w:id="124" w:name="_Toc17249_WPSOffice_Level1"/>
      <w:bookmarkStart w:id="125" w:name="_Toc26696"/>
      <w:bookmarkStart w:id="126" w:name="_Toc21621"/>
      <w:bookmarkStart w:id="127" w:name="_Toc30163852"/>
      <w:bookmarkStart w:id="128" w:name="_Toc13526"/>
      <w:bookmarkStart w:id="129" w:name="_Toc15615"/>
      <w:bookmarkStart w:id="130" w:name="_Toc10520"/>
      <w:r>
        <w:rPr>
          <w:rFonts w:hint="eastAsia" w:ascii="方正黑体_GBK" w:hAnsi="方正黑体_GBK" w:eastAsia="方正黑体_GBK" w:cs="方正黑体_GBK"/>
          <w:b w:val="0"/>
          <w:bCs/>
          <w:kern w:val="0"/>
          <w:sz w:val="32"/>
          <w:szCs w:val="32"/>
          <w:highlight w:val="none"/>
          <w:lang w:val="en-US" w:eastAsia="zh-CN"/>
        </w:rPr>
        <w:t>六、</w:t>
      </w:r>
      <w:r>
        <w:rPr>
          <w:rFonts w:hint="eastAsia" w:ascii="方正黑体_GBK" w:hAnsi="方正黑体_GBK" w:eastAsia="方正黑体_GBK" w:cs="方正黑体_GBK"/>
          <w:b w:val="0"/>
          <w:bCs/>
          <w:kern w:val="0"/>
          <w:sz w:val="32"/>
          <w:szCs w:val="32"/>
          <w:highlight w:val="none"/>
        </w:rPr>
        <w:t>相关建议</w:t>
      </w:r>
      <w:bookmarkEnd w:id="124"/>
      <w:bookmarkEnd w:id="125"/>
      <w:bookmarkEnd w:id="126"/>
      <w:bookmarkEnd w:id="127"/>
      <w:bookmarkEnd w:id="128"/>
      <w:bookmarkEnd w:id="129"/>
      <w:bookmarkEnd w:id="130"/>
    </w:p>
    <w:p>
      <w:pPr>
        <w:keepNext w:val="0"/>
        <w:keepLines w:val="0"/>
        <w:pageBreakBefore w:val="0"/>
        <w:widowControl/>
        <w:kinsoku/>
        <w:wordWrap/>
        <w:overflowPunct w:val="0"/>
        <w:topLinePunct w:val="0"/>
        <w:autoSpaceDE w:val="0"/>
        <w:autoSpaceDN w:val="0"/>
        <w:bidi w:val="0"/>
        <w:adjustRightInd w:val="0"/>
        <w:snapToGrid/>
        <w:spacing w:line="570" w:lineRule="exact"/>
        <w:ind w:firstLine="640" w:firstLineChars="200"/>
        <w:jc w:val="both"/>
        <w:textAlignment w:val="baseline"/>
        <w:outlineLvl w:val="0"/>
        <w:rPr>
          <w:rFonts w:hint="eastAsia" w:ascii="方正仿宋_GBK" w:hAnsi="方正仿宋_GBK" w:eastAsia="方正仿宋_GBK" w:cs="方正仿宋_GBK"/>
          <w:b w:val="0"/>
          <w:bCs/>
          <w:color w:val="auto"/>
          <w:kern w:val="0"/>
          <w:sz w:val="32"/>
          <w:szCs w:val="32"/>
          <w:highlight w:val="none"/>
          <w:u w:val="none"/>
          <w:shd w:val="clear" w:color="auto" w:fill="auto"/>
          <w:lang w:val="en-US" w:eastAsia="zh-CN" w:bidi="ar"/>
        </w:rPr>
      </w:pPr>
      <w:bookmarkStart w:id="131" w:name="_Toc16235"/>
      <w:bookmarkStart w:id="132" w:name="_Toc9891"/>
      <w:r>
        <w:rPr>
          <w:rFonts w:hint="eastAsia" w:ascii="方正仿宋_GBK" w:hAnsi="方正仿宋_GBK" w:eastAsia="方正仿宋_GBK" w:cs="方正仿宋_GBK"/>
          <w:b w:val="0"/>
          <w:bCs/>
          <w:color w:val="auto"/>
          <w:kern w:val="0"/>
          <w:sz w:val="32"/>
          <w:szCs w:val="32"/>
          <w:highlight w:val="none"/>
          <w:u w:val="none"/>
          <w:shd w:val="clear" w:color="auto" w:fill="auto"/>
          <w:lang w:val="en-US" w:eastAsia="zh-CN" w:bidi="ar"/>
        </w:rPr>
        <w:t>1.专门设定对绩效工作人员定岗、定职、定责等相关制度措施，进一步提升绩效管理工作业务水平，积极参加财政局组织的绩效管理工作培训，提高绩效人员水平。</w:t>
      </w:r>
    </w:p>
    <w:p>
      <w:pPr>
        <w:pStyle w:val="2"/>
        <w:keepNext w:val="0"/>
        <w:keepLines w:val="0"/>
        <w:pageBreakBefore w:val="0"/>
        <w:widowControl/>
        <w:kinsoku/>
        <w:wordWrap/>
        <w:topLinePunct w:val="0"/>
        <w:bidi w:val="0"/>
        <w:snapToGrid/>
        <w:spacing w:before="0" w:beforeAutospacing="0" w:after="0" w:afterAutospacing="0" w:line="570" w:lineRule="exact"/>
        <w:ind w:firstLine="640" w:firstLineChars="200"/>
        <w:rPr>
          <w:rFonts w:hint="default" w:ascii="方正仿宋_GBK" w:hAnsi="方正仿宋_GBK" w:eastAsia="方正仿宋_GBK" w:cs="方正仿宋_GBK"/>
          <w:b w:val="0"/>
          <w:bCs/>
          <w:color w:val="auto"/>
          <w:kern w:val="0"/>
          <w:sz w:val="32"/>
          <w:szCs w:val="32"/>
          <w:highlight w:val="none"/>
          <w:u w:val="none"/>
          <w:shd w:val="clear" w:color="auto" w:fill="auto"/>
          <w:lang w:val="en-US" w:eastAsia="zh-CN" w:bidi="ar"/>
        </w:rPr>
      </w:pPr>
      <w:r>
        <w:rPr>
          <w:rFonts w:hint="eastAsia" w:ascii="方正仿宋_GBK" w:hAnsi="方正仿宋_GBK" w:eastAsia="方正仿宋_GBK" w:cs="方正仿宋_GBK"/>
          <w:b w:val="0"/>
          <w:bCs/>
          <w:color w:val="auto"/>
          <w:kern w:val="0"/>
          <w:sz w:val="32"/>
          <w:szCs w:val="32"/>
          <w:highlight w:val="none"/>
          <w:u w:val="none"/>
          <w:shd w:val="clear" w:color="auto" w:fill="auto"/>
          <w:lang w:val="en-US" w:eastAsia="zh-CN" w:bidi="ar"/>
        </w:rPr>
        <w:t>2.建议实施单位根据项目性质的不同制定相对应的管理制度，并且管理制度要有相应的奖惩内容，以此加强对服务单位的约束，提高资金使用效益。</w:t>
      </w:r>
    </w:p>
    <w:p>
      <w:pPr>
        <w:keepNext w:val="0"/>
        <w:keepLines w:val="0"/>
        <w:pageBreakBefore w:val="0"/>
        <w:widowControl/>
        <w:kinsoku/>
        <w:wordWrap/>
        <w:overflowPunct w:val="0"/>
        <w:topLinePunct w:val="0"/>
        <w:autoSpaceDE w:val="0"/>
        <w:autoSpaceDN w:val="0"/>
        <w:bidi w:val="0"/>
        <w:adjustRightInd w:val="0"/>
        <w:snapToGrid/>
        <w:spacing w:beforeAutospacing="0" w:afterAutospacing="0" w:line="570" w:lineRule="exact"/>
        <w:ind w:firstLine="640" w:firstLineChars="200"/>
        <w:jc w:val="both"/>
        <w:textAlignment w:val="baseline"/>
        <w:outlineLvl w:val="0"/>
        <w:rPr>
          <w:rFonts w:hint="eastAsia" w:ascii="方正黑体_GBK" w:hAnsi="方正黑体_GBK" w:eastAsia="方正黑体_GBK" w:cs="方正黑体_GBK"/>
          <w:b w:val="0"/>
          <w:bCs/>
          <w:kern w:val="0"/>
          <w:sz w:val="32"/>
          <w:szCs w:val="32"/>
          <w:highlight w:val="none"/>
        </w:rPr>
      </w:pPr>
      <w:bookmarkStart w:id="133" w:name="_Toc31548_WPSOffice_Level1"/>
      <w:r>
        <w:rPr>
          <w:rFonts w:hint="eastAsia" w:ascii="方正黑体_GBK" w:hAnsi="方正黑体_GBK" w:eastAsia="方正黑体_GBK" w:cs="方正黑体_GBK"/>
          <w:b w:val="0"/>
          <w:bCs/>
          <w:kern w:val="0"/>
          <w:sz w:val="32"/>
          <w:szCs w:val="32"/>
          <w:highlight w:val="none"/>
        </w:rPr>
        <w:t>七、其他需要说明的问题</w:t>
      </w:r>
      <w:bookmarkEnd w:id="133"/>
    </w:p>
    <w:p>
      <w:pPr>
        <w:keepNext w:val="0"/>
        <w:keepLines w:val="0"/>
        <w:pageBreakBefore w:val="0"/>
        <w:widowControl/>
        <w:numPr>
          <w:ilvl w:val="0"/>
          <w:numId w:val="0"/>
        </w:numPr>
        <w:kinsoku/>
        <w:wordWrap/>
        <w:overflowPunct w:val="0"/>
        <w:topLinePunct w:val="0"/>
        <w:autoSpaceDE w:val="0"/>
        <w:autoSpaceDN w:val="0"/>
        <w:bidi w:val="0"/>
        <w:adjustRightInd w:val="0"/>
        <w:snapToGrid/>
        <w:spacing w:beforeAutospacing="0" w:afterAutospacing="0" w:line="570" w:lineRule="exact"/>
        <w:ind w:firstLine="643" w:firstLineChars="200"/>
        <w:jc w:val="both"/>
        <w:textAlignment w:val="baseline"/>
        <w:outlineLvl w:val="0"/>
        <w:rPr>
          <w:rFonts w:hint="eastAsia" w:ascii="方正仿宋_GBK" w:hAnsi="方正仿宋_GBK" w:eastAsia="方正仿宋_GBK" w:cs="方正仿宋_GBK"/>
          <w:color w:val="auto"/>
          <w:kern w:val="0"/>
          <w:sz w:val="32"/>
          <w:szCs w:val="32"/>
          <w:highlight w:val="none"/>
          <w:lang w:val="en-US" w:eastAsia="zh-CN" w:bidi="ar"/>
        </w:rPr>
      </w:pPr>
      <w:bookmarkStart w:id="134" w:name="_Toc17061_WPSOffice_Level1"/>
      <w:bookmarkStart w:id="135" w:name="_Toc32680_WPSOffice_Level2"/>
      <w:r>
        <w:rPr>
          <w:rFonts w:hint="eastAsia" w:ascii="方正楷体_GBK" w:hAnsi="方正楷体_GBK" w:eastAsia="方正楷体_GBK" w:cs="方正楷体_GBK"/>
          <w:b/>
          <w:bCs/>
          <w:sz w:val="32"/>
          <w:szCs w:val="32"/>
          <w:highlight w:val="none"/>
        </w:rPr>
        <w:t>绩效结果挂钩次年预算资金安排</w:t>
      </w:r>
      <w:bookmarkEnd w:id="134"/>
      <w:bookmarkEnd w:id="135"/>
      <w:r>
        <w:rPr>
          <w:rFonts w:hint="eastAsia" w:ascii="方正楷体_GBK" w:hAnsi="方正楷体_GBK" w:eastAsia="方正楷体_GBK" w:cs="方正楷体_GBK"/>
          <w:b/>
          <w:bCs/>
          <w:sz w:val="32"/>
          <w:szCs w:val="32"/>
          <w:highlight w:val="none"/>
          <w:lang w:eastAsia="zh-CN"/>
        </w:rPr>
        <w:t>：</w:t>
      </w:r>
      <w:r>
        <w:rPr>
          <w:rFonts w:hint="eastAsia" w:ascii="方正仿宋_GBK" w:hAnsi="方正仿宋_GBK" w:eastAsia="方正仿宋_GBK" w:cs="方正仿宋_GBK"/>
          <w:color w:val="auto"/>
          <w:kern w:val="0"/>
          <w:sz w:val="32"/>
          <w:szCs w:val="32"/>
          <w:highlight w:val="none"/>
          <w:lang w:val="en-US" w:eastAsia="zh-CN" w:bidi="ar"/>
        </w:rPr>
        <w:t>为有效提高财政预算资金的经济性、效率性以及效益性，建议将本次绩效评价结果作为预算单位次年预算编制的重要依据，并优化支出结构、完善相关办法、改进预算管理。对绩效评价结果为“优秀”和“良好”的项目，建议根据政策制度，结合喀什地区工作安排以及本级财力情况等因素，原则上优先予以保障。对绩效评价结果为“一般”的项目，项目实施单位应针对性提出整改措施，落实到位。本级财政部门在编制次年该预算单位同类型项目支出时，按比例扣减预算，具体扣减比例计算方式为：（80-项目绩效评价结果得分）/100。对绩效评价结果“较差”的项目，本级财政部门原则上不在次年预算中给予安排。</w:t>
      </w:r>
    </w:p>
    <w:p>
      <w:pPr>
        <w:pageBreakBefore w:val="0"/>
        <w:kinsoku/>
        <w:wordWrap/>
        <w:bidi w:val="0"/>
        <w:spacing w:line="570" w:lineRule="exact"/>
        <w:rPr>
          <w:rFonts w:hint="eastAsia" w:ascii="方正黑体_GBK" w:hAnsi="方正黑体_GBK" w:eastAsia="方正黑体_GBK" w:cs="方正黑体_GBK"/>
          <w:b w:val="0"/>
          <w:bCs/>
          <w:color w:val="auto"/>
          <w:kern w:val="0"/>
          <w:sz w:val="32"/>
          <w:szCs w:val="32"/>
          <w:highlight w:val="none"/>
          <w:u w:val="none"/>
          <w:shd w:val="clear"/>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br w:type="page"/>
      </w:r>
    </w:p>
    <w:p>
      <w:pPr>
        <w:pStyle w:val="3"/>
        <w:pageBreakBefore w:val="0"/>
        <w:kinsoku/>
        <w:wordWrap/>
        <w:bidi w:val="0"/>
        <w:spacing w:line="570" w:lineRule="exact"/>
        <w:jc w:val="both"/>
        <w:rPr>
          <w:rFonts w:hint="eastAsia" w:ascii="方正黑体_GBK" w:hAnsi="方正黑体_GBK" w:eastAsia="方正黑体_GBK" w:cs="方正黑体_GBK"/>
          <w:b w:val="0"/>
          <w:bCs/>
          <w:color w:val="auto"/>
          <w:kern w:val="0"/>
          <w:sz w:val="32"/>
          <w:szCs w:val="32"/>
          <w:highlight w:val="none"/>
          <w:u w:val="none"/>
          <w:shd w:val="clear"/>
          <w:lang w:val="en-US" w:eastAsia="zh-CN" w:bidi="ar"/>
        </w:rPr>
      </w:pPr>
      <w:bookmarkStart w:id="136" w:name="_Toc17877_WPSOffice_Level1"/>
      <w:bookmarkStart w:id="137" w:name="_Toc13293_WPSOffice_Level1"/>
      <w:r>
        <w:rPr>
          <w:rFonts w:hint="eastAsia"/>
          <w:highlight w:val="none"/>
          <w:lang w:val="en-US" w:eastAsia="zh-CN"/>
        </w:rPr>
        <w:t>附件1部门单位项目支出绩效自评表</w:t>
      </w:r>
      <w:bookmarkEnd w:id="136"/>
      <w:bookmarkEnd w:id="137"/>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70" w:lineRule="exact"/>
        <w:ind w:right="0" w:rightChars="0" w:firstLine="640" w:firstLineChars="200"/>
        <w:jc w:val="both"/>
        <w:textAlignment w:val="auto"/>
        <w:rPr>
          <w:rFonts w:hint="default" w:ascii="方正黑体_GBK" w:hAnsi="方正黑体_GBK" w:eastAsia="方正黑体_GBK" w:cs="方正黑体_GBK"/>
          <w:b w:val="0"/>
          <w:bCs/>
          <w:color w:val="auto"/>
          <w:kern w:val="0"/>
          <w:sz w:val="32"/>
          <w:szCs w:val="32"/>
          <w:highlight w:val="none"/>
          <w:u w:val="none"/>
          <w:shd w:val="clear"/>
          <w:lang w:val="en-US" w:eastAsia="zh-CN" w:bidi="ar"/>
        </w:rPr>
      </w:pPr>
    </w:p>
    <w:tbl>
      <w:tblPr>
        <w:tblStyle w:val="21"/>
        <w:tblW w:w="88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27"/>
        <w:gridCol w:w="909"/>
        <w:gridCol w:w="912"/>
        <w:gridCol w:w="1212"/>
        <w:gridCol w:w="1697"/>
        <w:gridCol w:w="909"/>
        <w:gridCol w:w="910"/>
        <w:gridCol w:w="16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5" w:hRule="atLeast"/>
        </w:trPr>
        <w:tc>
          <w:tcPr>
            <w:tcW w:w="8874" w:type="dxa"/>
            <w:gridSpan w:val="8"/>
            <w:tcBorders>
              <w:top w:val="nil"/>
              <w:left w:val="nil"/>
              <w:bottom w:val="nil"/>
              <w:right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32"/>
                <w:szCs w:val="32"/>
                <w:highlight w:val="none"/>
                <w:u w:val="none"/>
              </w:rPr>
            </w:pPr>
            <w:r>
              <w:rPr>
                <w:rFonts w:hint="eastAsia" w:ascii="宋体" w:hAnsi="宋体" w:eastAsia="宋体" w:cs="宋体"/>
                <w:b/>
                <w:i w:val="0"/>
                <w:color w:val="000000"/>
                <w:kern w:val="0"/>
                <w:sz w:val="32"/>
                <w:szCs w:val="32"/>
                <w:highlight w:val="none"/>
                <w:u w:val="none"/>
                <w:lang w:val="en-US" w:eastAsia="zh-CN" w:bidi="ar"/>
              </w:rPr>
              <w:t>中央对地方专项转移支付绩效自评表</w:t>
            </w:r>
            <w:r>
              <w:rPr>
                <w:rFonts w:hint="eastAsia" w:ascii="宋体" w:hAnsi="宋体" w:eastAsia="宋体" w:cs="宋体"/>
                <w:i w:val="0"/>
                <w:color w:val="000000"/>
                <w:kern w:val="0"/>
                <w:sz w:val="32"/>
                <w:szCs w:val="32"/>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00" w:hRule="atLeast"/>
        </w:trPr>
        <w:tc>
          <w:tcPr>
            <w:tcW w:w="244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专项名称</w:t>
            </w:r>
          </w:p>
        </w:tc>
        <w:tc>
          <w:tcPr>
            <w:tcW w:w="642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伽师县农技中心2022年第三次全国土壤普查工作项目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00" w:hRule="atLeast"/>
        </w:trPr>
        <w:tc>
          <w:tcPr>
            <w:tcW w:w="244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中央主管部门</w:t>
            </w:r>
          </w:p>
        </w:tc>
        <w:tc>
          <w:tcPr>
            <w:tcW w:w="642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农业农村部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00" w:hRule="atLeast"/>
        </w:trPr>
        <w:tc>
          <w:tcPr>
            <w:tcW w:w="244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地方主管部门</w:t>
            </w: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伽师县农业农村局</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实施单位</w:t>
            </w:r>
          </w:p>
        </w:tc>
        <w:tc>
          <w:tcPr>
            <w:tcW w:w="2608"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伽师县农业技术推广中心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50" w:hRule="atLeast"/>
        </w:trPr>
        <w:tc>
          <w:tcPr>
            <w:tcW w:w="244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项目资金（万元）</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left"/>
              <w:rPr>
                <w:rFonts w:hint="eastAsia" w:ascii="宋体" w:hAnsi="宋体" w:eastAsia="宋体" w:cs="宋体"/>
                <w:i w:val="0"/>
                <w:color w:val="000000"/>
                <w:sz w:val="20"/>
                <w:szCs w:val="20"/>
                <w:highlight w:val="none"/>
                <w:u w:val="none"/>
              </w:rPr>
            </w:pPr>
          </w:p>
        </w:tc>
        <w:tc>
          <w:tcPr>
            <w:tcW w:w="1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全年预算数（A,含结余结转）</w:t>
            </w:r>
          </w:p>
        </w:tc>
        <w:tc>
          <w:tcPr>
            <w:tcW w:w="1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全年执行数（B）</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执行率（B/A)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0" w:hRule="atLeast"/>
        </w:trPr>
        <w:tc>
          <w:tcPr>
            <w:tcW w:w="24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年度资金总额：</w:t>
            </w:r>
          </w:p>
        </w:tc>
        <w:tc>
          <w:tcPr>
            <w:tcW w:w="1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119.88</w:t>
            </w:r>
          </w:p>
        </w:tc>
        <w:tc>
          <w:tcPr>
            <w:tcW w:w="1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119.88</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10" w:hRule="atLeast"/>
        </w:trPr>
        <w:tc>
          <w:tcPr>
            <w:tcW w:w="24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其中：中央补助</w:t>
            </w:r>
          </w:p>
        </w:tc>
        <w:tc>
          <w:tcPr>
            <w:tcW w:w="1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119.88</w:t>
            </w:r>
          </w:p>
        </w:tc>
        <w:tc>
          <w:tcPr>
            <w:tcW w:w="1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119.88</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10" w:hRule="atLeast"/>
        </w:trPr>
        <w:tc>
          <w:tcPr>
            <w:tcW w:w="24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 xml:space="preserve">    地方资金</w:t>
            </w:r>
          </w:p>
        </w:tc>
        <w:tc>
          <w:tcPr>
            <w:tcW w:w="1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1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0" w:hRule="atLeast"/>
        </w:trPr>
        <w:tc>
          <w:tcPr>
            <w:tcW w:w="24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12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 xml:space="preserve">    其他资金</w:t>
            </w:r>
          </w:p>
        </w:tc>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181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16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24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right"/>
              <w:rPr>
                <w:rFonts w:hint="eastAsia" w:ascii="宋体" w:hAnsi="宋体" w:eastAsia="宋体" w:cs="宋体"/>
                <w:i w:val="0"/>
                <w:color w:val="000000"/>
                <w:sz w:val="20"/>
                <w:szCs w:val="20"/>
                <w:highlight w:val="none"/>
                <w:u w:val="none"/>
              </w:rPr>
            </w:pPr>
          </w:p>
        </w:tc>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18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00" w:hRule="atLeast"/>
        </w:trPr>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年度总体目标</w:t>
            </w:r>
          </w:p>
        </w:tc>
        <w:tc>
          <w:tcPr>
            <w:tcW w:w="473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年初设定目标</w:t>
            </w:r>
          </w:p>
        </w:tc>
        <w:tc>
          <w:tcPr>
            <w:tcW w:w="351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00" w:hRule="atLeast"/>
        </w:trPr>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473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此项目根据喀地财农[2022]12号文件，下达资金119.88万元，主要用于土壤样品检测分析费102.05万，采集土壤样品流转费8.35万元，购置取土壤样品的耗材成本1.474万元/批，</w:t>
            </w:r>
            <w:r>
              <w:rPr>
                <w:rFonts w:hint="eastAsia" w:ascii="宋体" w:hAnsi="宋体" w:cs="宋体"/>
                <w:i w:val="0"/>
                <w:color w:val="000000"/>
                <w:kern w:val="0"/>
                <w:sz w:val="20"/>
                <w:szCs w:val="20"/>
                <w:highlight w:val="none"/>
                <w:u w:val="none"/>
                <w:lang w:val="en-US" w:eastAsia="zh-CN" w:bidi="ar"/>
              </w:rPr>
              <w:t>购买土壤</w:t>
            </w:r>
            <w:r>
              <w:rPr>
                <w:rFonts w:hint="eastAsia" w:ascii="宋体" w:hAnsi="宋体" w:eastAsia="宋体" w:cs="宋体"/>
                <w:i w:val="0"/>
                <w:color w:val="000000"/>
                <w:kern w:val="0"/>
                <w:sz w:val="20"/>
                <w:szCs w:val="20"/>
                <w:highlight w:val="none"/>
                <w:u w:val="none"/>
                <w:lang w:val="en-US" w:eastAsia="zh-CN" w:bidi="ar"/>
              </w:rPr>
              <w:t>样品的工具成本8万元/批。项目实施后，真实准确掌握土壤质量和利用状况，全面提升土壤资源保护和利用水平，保护生态环境，优化农业生产布局，推动农业高质量发展。</w:t>
            </w:r>
          </w:p>
        </w:tc>
        <w:tc>
          <w:tcPr>
            <w:tcW w:w="351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cs="宋体"/>
                <w:i w:val="0"/>
                <w:color w:val="000000"/>
                <w:kern w:val="0"/>
                <w:sz w:val="20"/>
                <w:szCs w:val="20"/>
                <w:highlight w:val="none"/>
                <w:u w:val="none"/>
                <w:lang w:val="en-US" w:eastAsia="zh-CN" w:bidi="ar"/>
              </w:rPr>
              <w:t>截至</w:t>
            </w:r>
            <w:r>
              <w:rPr>
                <w:rFonts w:hint="eastAsia" w:ascii="宋体" w:hAnsi="宋体" w:eastAsia="宋体" w:cs="宋体"/>
                <w:i w:val="0"/>
                <w:color w:val="000000"/>
                <w:kern w:val="0"/>
                <w:sz w:val="20"/>
                <w:szCs w:val="20"/>
                <w:highlight w:val="none"/>
                <w:u w:val="none"/>
                <w:lang w:val="en-US" w:eastAsia="zh-CN" w:bidi="ar"/>
              </w:rPr>
              <w:t>2022年12月31日，已完成采集土壤样品流转2386次、土壤样品检测分析13987项、购买土壤样品耗材1批、购买土壤样品工具1批共计119.88万元，项目实施后，促进农产品质量安全，推动农业高质量发展，夯实粮食安全基础，促进乡村振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58"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rPr>
                <w:rFonts w:hint="eastAsia" w:ascii="宋体" w:hAnsi="宋体" w:eastAsia="宋体" w:cs="宋体"/>
                <w:i w:val="0"/>
                <w:color w:val="000000"/>
                <w:sz w:val="20"/>
                <w:szCs w:val="20"/>
                <w:highlight w:val="none"/>
                <w:u w:val="none"/>
              </w:rPr>
            </w:pPr>
          </w:p>
        </w:tc>
        <w:tc>
          <w:tcPr>
            <w:tcW w:w="909"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一级指标</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二级指标</w:t>
            </w: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三级指标</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年度指标值</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全年完成值</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未完成原因和改进措施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627" w:type="dxa"/>
            <w:vMerge w:val="restart"/>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绩效目标</w:t>
            </w:r>
          </w:p>
        </w:tc>
        <w:tc>
          <w:tcPr>
            <w:tcW w:w="9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产出指标</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数量指标</w:t>
            </w: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采集土壤样品流转数量（次）</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&gt;=2386</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=2386</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627" w:type="dxa"/>
            <w:vMerge w:val="continue"/>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rPr>
                <w:rFonts w:hint="eastAsia" w:ascii="宋体" w:hAnsi="宋体" w:eastAsia="宋体" w:cs="宋体"/>
                <w:i w:val="0"/>
                <w:color w:val="000000"/>
                <w:sz w:val="20"/>
                <w:szCs w:val="20"/>
                <w:highlight w:val="none"/>
                <w:u w:val="none"/>
              </w:rPr>
            </w:pP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土壤样品检测分析数（项次）</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&gt;=13987</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=13987</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00" w:hRule="atLeast"/>
        </w:trPr>
        <w:tc>
          <w:tcPr>
            <w:tcW w:w="627" w:type="dxa"/>
            <w:vMerge w:val="continue"/>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rPr>
                <w:rFonts w:hint="eastAsia" w:ascii="宋体" w:hAnsi="宋体" w:eastAsia="宋体" w:cs="宋体"/>
                <w:i w:val="0"/>
                <w:color w:val="000000"/>
                <w:sz w:val="20"/>
                <w:szCs w:val="20"/>
                <w:highlight w:val="none"/>
                <w:u w:val="none"/>
              </w:rPr>
            </w:pP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购买取土壤样品的耗材数量（批）</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00" w:hRule="atLeast"/>
        </w:trPr>
        <w:tc>
          <w:tcPr>
            <w:tcW w:w="627" w:type="dxa"/>
            <w:vMerge w:val="continue"/>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rPr>
                <w:rFonts w:hint="eastAsia" w:ascii="宋体" w:hAnsi="宋体" w:eastAsia="宋体" w:cs="宋体"/>
                <w:i w:val="0"/>
                <w:color w:val="000000"/>
                <w:sz w:val="20"/>
                <w:szCs w:val="20"/>
                <w:highlight w:val="none"/>
                <w:u w:val="none"/>
              </w:rPr>
            </w:pP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购买土壤样品的工具数量（批）</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627" w:type="dxa"/>
            <w:vMerge w:val="continue"/>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rPr>
                <w:rFonts w:hint="eastAsia" w:ascii="宋体" w:hAnsi="宋体" w:eastAsia="宋体" w:cs="宋体"/>
                <w:i w:val="0"/>
                <w:color w:val="000000"/>
                <w:sz w:val="20"/>
                <w:szCs w:val="20"/>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质量指标</w:t>
            </w: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资金使用合规率（%）</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627" w:type="dxa"/>
            <w:vMerge w:val="continue"/>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rPr>
                <w:rFonts w:hint="eastAsia" w:ascii="宋体" w:hAnsi="宋体" w:eastAsia="宋体" w:cs="宋体"/>
                <w:i w:val="0"/>
                <w:color w:val="000000"/>
                <w:sz w:val="20"/>
                <w:szCs w:val="20"/>
                <w:highlight w:val="none"/>
                <w:u w:val="none"/>
              </w:rPr>
            </w:pP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时效指标</w:t>
            </w: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项目开工率（%）</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00" w:hRule="atLeast"/>
        </w:trPr>
        <w:tc>
          <w:tcPr>
            <w:tcW w:w="627" w:type="dxa"/>
            <w:vMerge w:val="continue"/>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rPr>
                <w:rFonts w:hint="eastAsia" w:ascii="宋体" w:hAnsi="宋体" w:eastAsia="宋体" w:cs="宋体"/>
                <w:i w:val="0"/>
                <w:color w:val="000000"/>
                <w:sz w:val="20"/>
                <w:szCs w:val="20"/>
                <w:highlight w:val="none"/>
                <w:u w:val="none"/>
              </w:rPr>
            </w:pP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项目完工时间</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2022年12月</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=2022年12月</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627" w:type="dxa"/>
            <w:vMerge w:val="continue"/>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rPr>
                <w:rFonts w:hint="eastAsia" w:ascii="宋体" w:hAnsi="宋体" w:eastAsia="宋体" w:cs="宋体"/>
                <w:i w:val="0"/>
                <w:color w:val="000000"/>
                <w:sz w:val="20"/>
                <w:szCs w:val="20"/>
                <w:highlight w:val="none"/>
                <w:u w:val="none"/>
              </w:rPr>
            </w:pP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成本指标</w:t>
            </w: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采集土壤样品流转费（万元）</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&lt;=8.35</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=8.35</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627" w:type="dxa"/>
            <w:vMerge w:val="continue"/>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rPr>
                <w:rFonts w:hint="eastAsia" w:ascii="宋体" w:hAnsi="宋体" w:eastAsia="宋体" w:cs="宋体"/>
                <w:i w:val="0"/>
                <w:color w:val="000000"/>
                <w:sz w:val="20"/>
                <w:szCs w:val="20"/>
                <w:highlight w:val="none"/>
                <w:u w:val="none"/>
              </w:rPr>
            </w:pP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土壤样品检测分析费用（万元）</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&lt;=102.05</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=102.05</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627" w:type="dxa"/>
            <w:vMerge w:val="continue"/>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rPr>
                <w:rFonts w:hint="eastAsia" w:ascii="宋体" w:hAnsi="宋体" w:eastAsia="宋体" w:cs="宋体"/>
                <w:i w:val="0"/>
                <w:color w:val="000000"/>
                <w:sz w:val="20"/>
                <w:szCs w:val="20"/>
                <w:highlight w:val="none"/>
                <w:u w:val="none"/>
              </w:rPr>
            </w:pP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购置取土壤样品的耗材成本（万元/批）</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=1.474</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=1.474</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627" w:type="dxa"/>
            <w:vMerge w:val="continue"/>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rPr>
                <w:rFonts w:hint="eastAsia" w:ascii="宋体" w:hAnsi="宋体" w:eastAsia="宋体" w:cs="宋体"/>
                <w:i w:val="0"/>
                <w:color w:val="000000"/>
                <w:sz w:val="20"/>
                <w:szCs w:val="20"/>
                <w:highlight w:val="none"/>
                <w:u w:val="none"/>
              </w:rPr>
            </w:pP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cs="宋体"/>
                <w:i w:val="0"/>
                <w:color w:val="000000"/>
                <w:kern w:val="0"/>
                <w:sz w:val="20"/>
                <w:szCs w:val="20"/>
                <w:highlight w:val="none"/>
                <w:u w:val="none"/>
                <w:lang w:val="en-US" w:eastAsia="zh-CN" w:bidi="ar"/>
              </w:rPr>
              <w:t>购买土壤</w:t>
            </w:r>
            <w:r>
              <w:rPr>
                <w:rFonts w:hint="eastAsia" w:ascii="宋体" w:hAnsi="宋体" w:eastAsia="宋体" w:cs="宋体"/>
                <w:i w:val="0"/>
                <w:color w:val="000000"/>
                <w:kern w:val="0"/>
                <w:sz w:val="20"/>
                <w:szCs w:val="20"/>
                <w:highlight w:val="none"/>
                <w:u w:val="none"/>
                <w:lang w:val="en-US" w:eastAsia="zh-CN" w:bidi="ar"/>
              </w:rPr>
              <w:t>样品的工具成本（万元/批）</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627" w:type="dxa"/>
            <w:vMerge w:val="continue"/>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9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效益指标</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社会效益指标</w:t>
            </w: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提升土壤资源保护和利用水平</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有效提升</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有效提升</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627" w:type="dxa"/>
            <w:vMerge w:val="continue"/>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rPr>
                <w:rFonts w:hint="eastAsia" w:ascii="宋体" w:hAnsi="宋体" w:eastAsia="宋体" w:cs="宋体"/>
                <w:i w:val="0"/>
                <w:color w:val="000000"/>
                <w:sz w:val="20"/>
                <w:szCs w:val="20"/>
                <w:highlight w:val="none"/>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可持续影响指标</w:t>
            </w: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推进农业高质量发展</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持续推进</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持续推进</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627" w:type="dxa"/>
            <w:vMerge w:val="continue"/>
            <w:tcBorders>
              <w:top w:val="single" w:color="000000" w:sz="4" w:space="0"/>
              <w:left w:val="single" w:color="000000" w:sz="4" w:space="0"/>
              <w:bottom w:val="doub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满意度指标</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 xml:space="preserve">满意度指标 </w:t>
            </w:r>
          </w:p>
        </w:tc>
        <w:tc>
          <w:tcPr>
            <w:tcW w:w="2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受益农户满意度（%）</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&gt;=95%</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=97.75%</w:t>
            </w:r>
          </w:p>
        </w:tc>
        <w:tc>
          <w:tcPr>
            <w:tcW w:w="1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0"/>
                <w:szCs w:val="20"/>
                <w:highlight w:val="none"/>
                <w:u w:val="none"/>
              </w:rPr>
            </w:pPr>
          </w:p>
        </w:tc>
      </w:tr>
    </w:tbl>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70" w:lineRule="exact"/>
        <w:ind w:right="0" w:rightChars="0" w:firstLine="640" w:firstLineChars="200"/>
        <w:jc w:val="both"/>
        <w:textAlignment w:val="auto"/>
        <w:rPr>
          <w:rFonts w:hint="default" w:ascii="方正黑体_GBK" w:hAnsi="方正黑体_GBK" w:eastAsia="方正黑体_GBK" w:cs="方正黑体_GBK"/>
          <w:b w:val="0"/>
          <w:bCs/>
          <w:color w:val="auto"/>
          <w:kern w:val="0"/>
          <w:sz w:val="32"/>
          <w:szCs w:val="32"/>
          <w:highlight w:val="none"/>
          <w:u w:val="none"/>
          <w:shd w:val="clear"/>
          <w:lang w:val="en-US" w:eastAsia="zh-CN" w:bidi="ar"/>
        </w:rPr>
        <w:sectPr>
          <w:footerReference r:id="rId5" w:type="default"/>
          <w:pgSz w:w="11906" w:h="16838"/>
          <w:pgMar w:top="1984" w:right="1531" w:bottom="1701" w:left="1531" w:header="851" w:footer="992" w:gutter="0"/>
          <w:pgNumType w:fmt="numberInDash"/>
          <w:cols w:space="425" w:num="1"/>
          <w:docGrid w:type="lines" w:linePitch="312" w:charSpace="0"/>
        </w:sectPr>
      </w:pPr>
    </w:p>
    <w:bookmarkEnd w:id="131"/>
    <w:bookmarkEnd w:id="132"/>
    <w:p>
      <w:pPr>
        <w:keepNext w:val="0"/>
        <w:keepLines w:val="0"/>
        <w:pageBreakBefore w:val="0"/>
        <w:widowControl/>
        <w:kinsoku/>
        <w:wordWrap/>
        <w:overflowPunct/>
        <w:topLinePunct w:val="0"/>
        <w:autoSpaceDE/>
        <w:autoSpaceDN/>
        <w:bidi w:val="0"/>
        <w:adjustRightInd/>
        <w:snapToGrid/>
        <w:spacing w:line="570" w:lineRule="exact"/>
        <w:jc w:val="both"/>
        <w:textAlignment w:val="auto"/>
        <w:outlineLvl w:val="0"/>
        <w:rPr>
          <w:rFonts w:hint="default" w:ascii="Times New Roman" w:hAnsi="Times New Roman" w:eastAsia="仿宋_GB2312" w:cs="Times New Roman"/>
          <w:b w:val="0"/>
          <w:bCs/>
          <w:color w:val="auto"/>
          <w:kern w:val="0"/>
          <w:sz w:val="32"/>
          <w:szCs w:val="32"/>
          <w:highlight w:val="none"/>
          <w:lang w:val="en-US" w:eastAsia="zh-CN"/>
        </w:rPr>
      </w:pPr>
      <w:bookmarkStart w:id="138" w:name="_Toc7676_WPSOffice_Level1"/>
      <w:bookmarkStart w:id="139" w:name="_Toc17307_WPSOffice_Level1"/>
      <w:bookmarkStart w:id="140" w:name="_Toc3137_WPSOffice_Level1"/>
      <w:bookmarkStart w:id="141" w:name="_Toc12099_WPSOffice_Level1"/>
      <w:r>
        <w:rPr>
          <w:rFonts w:hint="eastAsia" w:ascii="方正黑体_GBK" w:hAnsi="方正黑体_GBK" w:eastAsia="方正黑体_GBK" w:cs="方正黑体_GBK"/>
          <w:b/>
          <w:sz w:val="32"/>
          <w:szCs w:val="32"/>
          <w:highlight w:val="none"/>
        </w:rPr>
        <w:t>附件</w:t>
      </w:r>
      <w:bookmarkEnd w:id="138"/>
      <w:r>
        <w:rPr>
          <w:rFonts w:hint="eastAsia" w:ascii="方正黑体_GBK" w:hAnsi="方正黑体_GBK" w:eastAsia="方正黑体_GBK" w:cs="方正黑体_GBK"/>
          <w:b/>
          <w:sz w:val="32"/>
          <w:szCs w:val="32"/>
          <w:highlight w:val="none"/>
          <w:lang w:val="en-US" w:eastAsia="zh-CN"/>
        </w:rPr>
        <w:t>2</w:t>
      </w:r>
      <w:r>
        <w:rPr>
          <w:rFonts w:hint="eastAsia" w:ascii="方正黑体_GBK" w:hAnsi="方正黑体_GBK" w:eastAsia="方正黑体_GBK" w:cs="方正黑体_GBK"/>
          <w:b/>
          <w:sz w:val="32"/>
          <w:szCs w:val="32"/>
          <w:highlight w:val="none"/>
        </w:rPr>
        <w:t>项目支出绩效评价指标体系</w:t>
      </w:r>
      <w:bookmarkEnd w:id="139"/>
      <w:bookmarkEnd w:id="140"/>
      <w:bookmarkEnd w:id="141"/>
    </w:p>
    <w:tbl>
      <w:tblPr>
        <w:tblStyle w:val="21"/>
        <w:tblW w:w="14078" w:type="dxa"/>
        <w:tblInd w:w="0" w:type="dxa"/>
        <w:shd w:val="clear" w:color="auto" w:fill="auto"/>
        <w:tblLayout w:type="fixed"/>
        <w:tblCellMar>
          <w:top w:w="0" w:type="dxa"/>
          <w:left w:w="0" w:type="dxa"/>
          <w:bottom w:w="0" w:type="dxa"/>
          <w:right w:w="0" w:type="dxa"/>
        </w:tblCellMar>
      </w:tblPr>
      <w:tblGrid>
        <w:gridCol w:w="708"/>
        <w:gridCol w:w="664"/>
        <w:gridCol w:w="1054"/>
        <w:gridCol w:w="2986"/>
        <w:gridCol w:w="4923"/>
        <w:gridCol w:w="1077"/>
        <w:gridCol w:w="928"/>
        <w:gridCol w:w="845"/>
        <w:gridCol w:w="893"/>
      </w:tblGrid>
      <w:tr>
        <w:tblPrEx>
          <w:tblLayout w:type="fixed"/>
          <w:tblCellMar>
            <w:top w:w="0" w:type="dxa"/>
            <w:left w:w="0" w:type="dxa"/>
            <w:bottom w:w="0" w:type="dxa"/>
            <w:right w:w="0" w:type="dxa"/>
          </w:tblCellMar>
        </w:tblPrEx>
        <w:trPr>
          <w:trHeight w:val="1022" w:hRule="atLeast"/>
        </w:trPr>
        <w:tc>
          <w:tcPr>
            <w:tcW w:w="708"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一级指标</w:t>
            </w:r>
          </w:p>
        </w:tc>
        <w:tc>
          <w:tcPr>
            <w:tcW w:w="664"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二级指标</w:t>
            </w:r>
          </w:p>
        </w:tc>
        <w:tc>
          <w:tcPr>
            <w:tcW w:w="1054"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三级指标</w:t>
            </w:r>
          </w:p>
        </w:tc>
        <w:tc>
          <w:tcPr>
            <w:tcW w:w="2986" w:type="dxa"/>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指标解释</w:t>
            </w:r>
          </w:p>
        </w:tc>
        <w:tc>
          <w:tcPr>
            <w:tcW w:w="4923"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指标说明</w:t>
            </w:r>
          </w:p>
        </w:tc>
        <w:tc>
          <w:tcPr>
            <w:tcW w:w="1077"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标杆值</w:t>
            </w:r>
          </w:p>
        </w:tc>
        <w:tc>
          <w:tcPr>
            <w:tcW w:w="928"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业绩值</w:t>
            </w:r>
          </w:p>
        </w:tc>
        <w:tc>
          <w:tcPr>
            <w:tcW w:w="845"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权重</w:t>
            </w:r>
          </w:p>
        </w:tc>
        <w:tc>
          <w:tcPr>
            <w:tcW w:w="893"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指标得分</w:t>
            </w: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A项目决策（20分）</w:t>
            </w: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A1项目立项（10分）</w:t>
            </w:r>
          </w:p>
        </w:tc>
        <w:tc>
          <w:tcPr>
            <w:tcW w:w="105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A101立项依据充分性</w:t>
            </w:r>
          </w:p>
        </w:tc>
        <w:tc>
          <w:tcPr>
            <w:tcW w:w="2986" w:type="dxa"/>
            <w:vMerge w:val="restart"/>
            <w:tcBorders>
              <w:top w:val="single" w:color="000000" w:sz="4" w:space="0"/>
              <w:left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项目立项是否符合法律法规、相关政策、发展规划以及部门职责，用以反映和考核项目立项依据情况。</w:t>
            </w:r>
          </w:p>
        </w:tc>
        <w:tc>
          <w:tcPr>
            <w:tcW w:w="4923"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充分</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充分</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cs="宋体"/>
                <w:i w:val="0"/>
                <w:color w:val="000000"/>
                <w:sz w:val="22"/>
                <w:szCs w:val="22"/>
                <w:highlight w:val="none"/>
                <w:u w:val="none"/>
                <w:lang w:val="en-US" w:eastAsia="zh-CN"/>
              </w:rPr>
              <w:t>5</w:t>
            </w:r>
          </w:p>
        </w:tc>
      </w:tr>
      <w:tr>
        <w:tblPrEx>
          <w:shd w:val="clear" w:color="auto" w:fill="auto"/>
          <w:tblLayout w:type="fixed"/>
          <w:tblCellMar>
            <w:top w:w="0" w:type="dxa"/>
            <w:left w:w="0" w:type="dxa"/>
            <w:bottom w:w="0" w:type="dxa"/>
            <w:right w:w="0" w:type="dxa"/>
          </w:tblCellMar>
        </w:tblPrEx>
        <w:trPr>
          <w:trHeight w:val="5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①项目立项是否符合国家法律法规、国民经济发展规划和相关政策（1分）；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②项目立项是否符合行业发展规划和政策要求（1分）；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③项目立项是否与部门职责范围相符，属于部门履职所需（1分）；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58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④项目是否属于公共财政支持范围，是否符合中央、地方事权支出责任划分原则（1分）；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r>
      <w:tr>
        <w:tblPrEx>
          <w:tblLayout w:type="fixed"/>
          <w:tblCellMar>
            <w:top w:w="0" w:type="dxa"/>
            <w:left w:w="0" w:type="dxa"/>
            <w:bottom w:w="0" w:type="dxa"/>
            <w:right w:w="0" w:type="dxa"/>
          </w:tblCellMar>
        </w:tblPrEx>
        <w:trPr>
          <w:trHeight w:val="9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⑤项目是否与相关部门同类项目或部门内部相关项目重复（1分），否则不得分。</w:t>
            </w:r>
          </w:p>
        </w:tc>
        <w:tc>
          <w:tcPr>
            <w:tcW w:w="1077"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928"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84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r>
      <w:tr>
        <w:tblPrEx>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A102立项程序规范性</w:t>
            </w:r>
          </w:p>
        </w:tc>
        <w:tc>
          <w:tcPr>
            <w:tcW w:w="2986"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项目申请、设立过程是否符合相关要求，用以反映和考核项目立项的规范情况。</w:t>
            </w:r>
          </w:p>
        </w:tc>
        <w:tc>
          <w:tcPr>
            <w:tcW w:w="4923"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规范</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规范</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①项目是否按照规定的程序申请设立；</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②审批文件、材料是否符合相关要求；</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tblLayout w:type="fixed"/>
          <w:tblCellMar>
            <w:top w:w="0" w:type="dxa"/>
            <w:left w:w="0" w:type="dxa"/>
            <w:bottom w:w="0" w:type="dxa"/>
            <w:right w:w="0" w:type="dxa"/>
          </w:tblCellMar>
        </w:tblPrEx>
        <w:trPr>
          <w:trHeight w:val="88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③事前是否已经过必要的可行性研究、专家论证、风险评估、绩效评估、集体决策；①②③齐全得权重分的100%，缺①扣权重分的40%，缺②扣权重分的30%，缺③扣权重分的30%。。</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A2 绩效目标（5分）</w:t>
            </w:r>
          </w:p>
        </w:tc>
        <w:tc>
          <w:tcPr>
            <w:tcW w:w="105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A201绩效目标合理性</w:t>
            </w:r>
          </w:p>
        </w:tc>
        <w:tc>
          <w:tcPr>
            <w:tcW w:w="2986"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项目所设定的绩效目标是否依据充分，是否符合客观实际，用以反映和考核项目绩效目标与项目实施的相符情况。</w:t>
            </w:r>
          </w:p>
        </w:tc>
        <w:tc>
          <w:tcPr>
            <w:tcW w:w="4923"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合理</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合理</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（如未设定预算绩效目标，也可考核其他工作任务目标）</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①项目是否有绩效目标（0.5分）；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②项目绩效目标与实际工作内容是否具有相关性（0.5分）；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③项目预期产出效益和效果是否符合正常的业绩水平（0.5分）；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④是否与预算确定的项目投资额或资金量相匹配（0.5分）。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A202绩效指标明确性</w:t>
            </w:r>
          </w:p>
        </w:tc>
        <w:tc>
          <w:tcPr>
            <w:tcW w:w="2986"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依据绩效目标设定的绩效指标是否清晰、细化、可衡量等，用以反映和考核项目绩效目标的明细化情况。</w:t>
            </w:r>
          </w:p>
        </w:tc>
        <w:tc>
          <w:tcPr>
            <w:tcW w:w="4923"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明确</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明确</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①是否将项目绩效目标细化分解为具体的绩效指标（1分）；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②是否通过清晰、可衡量的指标值予以体现（1分）；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③是否与项目目标任务数或计划数相对应（1分）。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A3资金投入（5分）</w:t>
            </w:r>
          </w:p>
        </w:tc>
        <w:tc>
          <w:tcPr>
            <w:tcW w:w="105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A301预算编制科学性</w:t>
            </w:r>
          </w:p>
        </w:tc>
        <w:tc>
          <w:tcPr>
            <w:tcW w:w="2986"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项目预算编制是否经过科学论证、有明确标准，资金额度与年度目标是否相适应，用以反映和考核项目预算编制的科学性、合理性情况。</w:t>
            </w:r>
          </w:p>
        </w:tc>
        <w:tc>
          <w:tcPr>
            <w:tcW w:w="4923"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科学</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科学</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①预算编制是否经过科学论证（0.5分）；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②预算内容与项目内容是否匹配（0.5分）；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③预算额度测算依据是否充分，是否按照标准编制（0.5分）；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④预算确定的项目投资额或资金量是否与工作任务相匹配（0.5分）。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A302资金分配合理性</w:t>
            </w:r>
          </w:p>
        </w:tc>
        <w:tc>
          <w:tcPr>
            <w:tcW w:w="2986"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项目预算资金分配是否有测算依据，与补助单位或地方实际是否相适应，用以反映和考核项目预算资金分配的科学性、合理性情况。</w:t>
            </w:r>
          </w:p>
        </w:tc>
        <w:tc>
          <w:tcPr>
            <w:tcW w:w="4923"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合理</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合理</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①预算资金分配依据是否充分（1分）；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tblLayout w:type="fixed"/>
          <w:tblCellMar>
            <w:top w:w="0" w:type="dxa"/>
            <w:left w:w="0" w:type="dxa"/>
            <w:bottom w:w="0" w:type="dxa"/>
            <w:right w:w="0" w:type="dxa"/>
          </w:tblCellMar>
        </w:tblPrEx>
        <w:trPr>
          <w:trHeight w:val="9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②资金分配额度是否合理，与项目单位或地方实际是否相适应（2分）。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880" w:hRule="atLeast"/>
        </w:trPr>
        <w:tc>
          <w:tcPr>
            <w:tcW w:w="70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 项目过程（20）</w:t>
            </w: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B1资金管理（15分）</w:t>
            </w:r>
          </w:p>
        </w:tc>
        <w:tc>
          <w:tcPr>
            <w:tcW w:w="105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B101资金到位率</w:t>
            </w:r>
          </w:p>
        </w:tc>
        <w:tc>
          <w:tcPr>
            <w:tcW w:w="2986"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实际到位资金与预算资金的比率，用以反映和考核资金落实情况对项目实施的总体保障程度。</w:t>
            </w:r>
          </w:p>
        </w:tc>
        <w:tc>
          <w:tcPr>
            <w:tcW w:w="4923"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 xml:space="preserve">①资金到位率为100%的，得满分。（5分）。             </w:t>
            </w:r>
            <w:r>
              <w:rPr>
                <w:rFonts w:hint="eastAsia" w:ascii="宋体" w:hAnsi="宋体" w:eastAsia="宋体" w:cs="宋体"/>
                <w:i w:val="0"/>
                <w:color w:val="000000"/>
                <w:kern w:val="0"/>
                <w:sz w:val="22"/>
                <w:szCs w:val="22"/>
                <w:highlight w:val="none"/>
                <w:u w:val="none"/>
                <w:lang w:val="en-US" w:eastAsia="zh-CN" w:bidi="ar"/>
              </w:rPr>
              <w:br w:type="textWrapping"/>
            </w:r>
            <w:r>
              <w:rPr>
                <w:rFonts w:hint="eastAsia" w:ascii="宋体" w:hAnsi="宋体" w:eastAsia="宋体" w:cs="宋体"/>
                <w:i w:val="0"/>
                <w:color w:val="000000"/>
                <w:kern w:val="0"/>
                <w:sz w:val="22"/>
                <w:szCs w:val="22"/>
                <w:highlight w:val="none"/>
                <w:u w:val="none"/>
                <w:lang w:val="en-US" w:eastAsia="zh-CN" w:bidi="ar"/>
              </w:rPr>
              <w:t>②资金未全额到位的，按照满分乘以到位率计算得分。资金到位率=（实际到位资金/预算资金）×100%。</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实际到位资金：一定时期（本年度或项目期）内落实到具体项目的资金。</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5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预算资金：一定时期（本年度或项目期）内预算安排到具体项目的资金，满足则得分，否则扣除对应权重分。</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8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B102预算执行率</w:t>
            </w:r>
          </w:p>
        </w:tc>
        <w:tc>
          <w:tcPr>
            <w:tcW w:w="2986"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项目预算资金是否按照计划执行，用以反映或考核项目预算执行情况。</w:t>
            </w:r>
          </w:p>
        </w:tc>
        <w:tc>
          <w:tcPr>
            <w:tcW w:w="4923"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①预算执行率为100%的，得满分（5分）；</w:t>
            </w:r>
            <w:r>
              <w:rPr>
                <w:rFonts w:hint="eastAsia" w:ascii="宋体" w:hAnsi="宋体" w:eastAsia="宋体" w:cs="宋体"/>
                <w:i w:val="0"/>
                <w:color w:val="000000"/>
                <w:kern w:val="0"/>
                <w:sz w:val="22"/>
                <w:szCs w:val="22"/>
                <w:highlight w:val="none"/>
                <w:u w:val="none"/>
                <w:lang w:val="en-US" w:eastAsia="zh-CN" w:bidi="ar"/>
              </w:rPr>
              <w:br w:type="textWrapping"/>
            </w:r>
            <w:r>
              <w:rPr>
                <w:rFonts w:hint="eastAsia" w:ascii="宋体" w:hAnsi="宋体" w:eastAsia="宋体" w:cs="宋体"/>
                <w:i w:val="0"/>
                <w:color w:val="000000"/>
                <w:kern w:val="0"/>
                <w:sz w:val="22"/>
                <w:szCs w:val="22"/>
                <w:highlight w:val="none"/>
                <w:u w:val="none"/>
                <w:lang w:val="en-US" w:eastAsia="zh-CN" w:bidi="ar"/>
              </w:rPr>
              <w:t>②资金未执行完毕的，按照满分乘以到位率计算得分，预算执行率=（实际支出资金/实际到位资金）×100%。</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kern w:val="0"/>
                <w:sz w:val="22"/>
                <w:szCs w:val="22"/>
                <w:highlight w:val="none"/>
                <w:u w:val="none"/>
                <w:lang w:val="en-US" w:eastAsia="zh-CN" w:bidi="ar"/>
              </w:rPr>
              <w:t>5</w:t>
            </w:r>
          </w:p>
        </w:tc>
      </w:tr>
      <w:tr>
        <w:tblPrEx>
          <w:shd w:val="clear" w:color="auto" w:fill="auto"/>
          <w:tblLayout w:type="fixed"/>
          <w:tblCellMar>
            <w:top w:w="0" w:type="dxa"/>
            <w:left w:w="0" w:type="dxa"/>
            <w:bottom w:w="0" w:type="dxa"/>
            <w:right w:w="0" w:type="dxa"/>
          </w:tblCellMar>
        </w:tblPrEx>
        <w:trPr>
          <w:trHeight w:val="7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lang w:eastAsia="zh-CN"/>
              </w:rPr>
            </w:pPr>
            <w:r>
              <w:rPr>
                <w:rFonts w:hint="eastAsia" w:ascii="宋体" w:hAnsi="宋体" w:eastAsia="宋体" w:cs="宋体"/>
                <w:i w:val="0"/>
                <w:color w:val="000000"/>
                <w:sz w:val="22"/>
                <w:szCs w:val="22"/>
                <w:highlight w:val="none"/>
                <w:u w:val="none"/>
                <w:lang w:eastAsia="zh-CN"/>
              </w:rPr>
              <w:t>5</w:t>
            </w: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实际支出资金：一定时期（本年度或项目期）内项目实际拨付的资金。</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r>
      <w:tr>
        <w:tblPrEx>
          <w:shd w:val="clear" w:color="auto" w:fill="auto"/>
          <w:tblLayout w:type="fixed"/>
          <w:tblCellMar>
            <w:top w:w="0" w:type="dxa"/>
            <w:left w:w="0" w:type="dxa"/>
            <w:bottom w:w="0" w:type="dxa"/>
            <w:right w:w="0" w:type="dxa"/>
          </w:tblCellMar>
        </w:tblPrEx>
        <w:trPr>
          <w:trHeight w:val="337"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B103资金使用合规性</w:t>
            </w:r>
          </w:p>
        </w:tc>
        <w:tc>
          <w:tcPr>
            <w:tcW w:w="298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项目资金使用是否符合相关的财务管理制度规定，用以反映和考核项目资金的规范运行情况。</w:t>
            </w:r>
          </w:p>
        </w:tc>
        <w:tc>
          <w:tcPr>
            <w:tcW w:w="49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评价要点：</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①是否符合国家财经法规和财务管理制度以及有关专项资金管理办法的规定（1分）；</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②资金的拨付是否有完整的审批程序和手续（1分）；</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③是否符合项目预算批复或合同规定的用途（1分）；</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④是否存在截留、挤占、挪用、虚列支出等情况（2分）。</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合规</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合规</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r>
      <w:tr>
        <w:tblPrEx>
          <w:tblLayout w:type="fixed"/>
          <w:tblCellMar>
            <w:top w:w="0" w:type="dxa"/>
            <w:left w:w="0" w:type="dxa"/>
            <w:bottom w:w="0" w:type="dxa"/>
            <w:right w:w="0" w:type="dxa"/>
          </w:tblCellMar>
        </w:tblPrEx>
        <w:trPr>
          <w:trHeight w:val="2783"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B2组织实施（5分）</w:t>
            </w:r>
          </w:p>
        </w:tc>
        <w:tc>
          <w:tcPr>
            <w:tcW w:w="10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B201管理制度健全性（2分）</w:t>
            </w:r>
          </w:p>
        </w:tc>
        <w:tc>
          <w:tcPr>
            <w:tcW w:w="298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项目实施单位的财务和业务管理制度是否健全，用以反映和考核财务和业务管理制度对项目顺利实施的保障情况。</w:t>
            </w:r>
          </w:p>
        </w:tc>
        <w:tc>
          <w:tcPr>
            <w:tcW w:w="4923"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评价要点：</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①是否已制定或具有相应的财务和业务管理制度（1分）；</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②财务和业务管理制度是否合法、合规、完整；以上两项各占50%的权重分，满足一项得对应的权重分（1分）。</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健全</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不</w:t>
            </w:r>
            <w:r>
              <w:rPr>
                <w:rFonts w:hint="eastAsia" w:ascii="宋体" w:hAnsi="宋体" w:eastAsia="宋体" w:cs="宋体"/>
                <w:i w:val="0"/>
                <w:color w:val="000000"/>
                <w:kern w:val="0"/>
                <w:sz w:val="22"/>
                <w:szCs w:val="22"/>
                <w:highlight w:val="none"/>
                <w:u w:val="none"/>
                <w:lang w:val="en-US" w:eastAsia="zh-CN" w:bidi="ar"/>
              </w:rPr>
              <w:t>健全</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1</w:t>
            </w:r>
          </w:p>
        </w:tc>
      </w:tr>
      <w:tr>
        <w:tblPrEx>
          <w:shd w:val="clear" w:color="auto" w:fill="auto"/>
          <w:tblLayout w:type="fixed"/>
          <w:tblCellMar>
            <w:top w:w="0" w:type="dxa"/>
            <w:left w:w="0" w:type="dxa"/>
            <w:bottom w:w="0" w:type="dxa"/>
            <w:right w:w="0" w:type="dxa"/>
          </w:tblCellMar>
        </w:tblPrEx>
        <w:trPr>
          <w:trHeight w:val="9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B201制度执行有效性（3分）</w:t>
            </w:r>
          </w:p>
        </w:tc>
        <w:tc>
          <w:tcPr>
            <w:tcW w:w="2986"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项目实施是否符合相关管理规定，用以反映和考核相关管理制度的有效执行情况。</w:t>
            </w:r>
          </w:p>
        </w:tc>
        <w:tc>
          <w:tcPr>
            <w:tcW w:w="492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评价要点：</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①是否遵守相关法律法规和相关管理规定（1分）；</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②项目调整及支出调整手续是否完备（0.5分）；</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③项目合同书、验收报告、技术鉴定等资料是否齐全并及时归档（1分）；</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④项目实施的人员条件、场地设备、信息支撑等是否落实到位（0.5分）。</w:t>
            </w:r>
          </w:p>
        </w:tc>
        <w:tc>
          <w:tcPr>
            <w:tcW w:w="107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有效</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有效</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kern w:val="0"/>
                <w:sz w:val="22"/>
                <w:szCs w:val="22"/>
                <w:highlight w:val="none"/>
                <w:u w:val="none"/>
                <w:lang w:val="en-US" w:eastAsia="zh-CN" w:bidi="ar"/>
              </w:rPr>
            </w:pPr>
          </w:p>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sz w:val="22"/>
                <w:szCs w:val="22"/>
                <w:highlight w:val="none"/>
                <w:u w:val="none"/>
                <w:lang w:val="en-US" w:eastAsia="zh-CN"/>
              </w:rPr>
            </w:pPr>
          </w:p>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sz w:val="22"/>
                <w:szCs w:val="22"/>
                <w:highlight w:val="none"/>
                <w:u w:val="none"/>
                <w:lang w:val="en-US" w:eastAsia="zh-CN"/>
              </w:rPr>
            </w:pPr>
          </w:p>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sz w:val="22"/>
                <w:szCs w:val="22"/>
                <w:highlight w:val="none"/>
                <w:u w:val="none"/>
                <w:lang w:val="en-US" w:eastAsia="zh-CN"/>
              </w:rPr>
            </w:pPr>
          </w:p>
          <w:p>
            <w:pPr>
              <w:keepNext w:val="0"/>
              <w:keepLines w:val="0"/>
              <w:pageBreakBefore w:val="0"/>
              <w:widowControl/>
              <w:suppressLineNumbers w:val="0"/>
              <w:kinsoku/>
              <w:wordWrap/>
              <w:bidi w:val="0"/>
              <w:spacing w:line="570" w:lineRule="exact"/>
              <w:ind w:left="0" w:leftChars="0"/>
              <w:jc w:val="center"/>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sz w:val="22"/>
                <w:szCs w:val="22"/>
                <w:highlight w:val="none"/>
                <w:u w:val="none"/>
                <w:lang w:val="en-US" w:eastAsia="zh-CN"/>
              </w:rPr>
              <w:t>3</w:t>
            </w: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C产出（40分）</w:t>
            </w:r>
          </w:p>
        </w:tc>
        <w:tc>
          <w:tcPr>
            <w:tcW w:w="664" w:type="dxa"/>
            <w:vMerge w:val="restart"/>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C1产出数量（10分）</w:t>
            </w:r>
          </w:p>
        </w:tc>
        <w:tc>
          <w:tcPr>
            <w:tcW w:w="1054"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实际完成率</w:t>
            </w:r>
          </w:p>
        </w:tc>
        <w:tc>
          <w:tcPr>
            <w:tcW w:w="2986" w:type="dxa"/>
            <w:vMerge w:val="restar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项目实施的实际产出数与计划产出数的比率，用以反映和考核项目产出数量目标的实现程度。</w:t>
            </w:r>
          </w:p>
        </w:tc>
        <w:tc>
          <w:tcPr>
            <w:tcW w:w="492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①采集土壤样品流转数量（次）指标，完成该指标得满分；</w:t>
            </w:r>
          </w:p>
        </w:tc>
        <w:tc>
          <w:tcPr>
            <w:tcW w:w="107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&gt;=2386</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=2386</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sz w:val="22"/>
                <w:szCs w:val="22"/>
                <w:highlight w:val="none"/>
                <w:u w:val="none"/>
                <w:lang w:val="en-US" w:eastAsia="zh-CN"/>
              </w:rPr>
              <w:t>2</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r>
      <w:tr>
        <w:tblPrEx>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auto"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single" w:color="auto"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②土壤样品检测分析数（项次）指标，完成该指标得满分；</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&gt;=13987</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=13987</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r>
      <w:tr>
        <w:tblPrEx>
          <w:shd w:val="clear" w:color="auto" w:fill="auto"/>
          <w:tblLayout w:type="fixed"/>
          <w:tblCellMar>
            <w:top w:w="0" w:type="dxa"/>
            <w:left w:w="0" w:type="dxa"/>
            <w:bottom w:w="0" w:type="dxa"/>
            <w:right w:w="0"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③购买取土壤样品的耗材数量（批）指标，完成该指标得满分；</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sz w:val="22"/>
                <w:szCs w:val="22"/>
                <w:highlight w:val="none"/>
                <w:u w:val="none"/>
                <w:lang w:val="en-US" w:eastAsia="zh-CN"/>
              </w:rPr>
              <w:t>2</w:t>
            </w:r>
          </w:p>
        </w:tc>
      </w:tr>
      <w:tr>
        <w:tblPrEx>
          <w:shd w:val="clear" w:color="auto" w:fill="auto"/>
          <w:tblLayout w:type="fixed"/>
          <w:tblCellMar>
            <w:top w:w="0" w:type="dxa"/>
            <w:left w:w="0" w:type="dxa"/>
            <w:bottom w:w="0" w:type="dxa"/>
            <w:right w:w="0" w:type="dxa"/>
          </w:tblCellMar>
        </w:tblPrEx>
        <w:trPr>
          <w:trHeight w:val="9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tcBorders>
              <w:top w:val="nil"/>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④购买土壤样品的工具数量（批）指标，完成该指标得满分；</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实际完成率=（实际产出数/计划产出数）*100%；得分=实际完成率*100%</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sz w:val="22"/>
                <w:szCs w:val="22"/>
                <w:highlight w:val="none"/>
                <w:u w:val="none"/>
                <w:lang w:val="en-US" w:eastAsia="zh-CN"/>
              </w:rPr>
              <w:t>3</w:t>
            </w:r>
          </w:p>
        </w:tc>
      </w:tr>
      <w:tr>
        <w:tblPrEx>
          <w:shd w:val="clear" w:color="auto" w:fill="auto"/>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C2产出质量（5分）</w:t>
            </w:r>
          </w:p>
        </w:tc>
        <w:tc>
          <w:tcPr>
            <w:tcW w:w="105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质量达标率</w:t>
            </w:r>
          </w:p>
        </w:tc>
        <w:tc>
          <w:tcPr>
            <w:tcW w:w="2986"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项目完成的质量达标产出数与实际产出数的比率，用以反映和考核项目产出质量目标的实现程度。</w:t>
            </w:r>
          </w:p>
        </w:tc>
        <w:tc>
          <w:tcPr>
            <w:tcW w:w="4923"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①资金使用合规率（%）指标，完成该指标得满分；</w:t>
            </w:r>
          </w:p>
        </w:tc>
        <w:tc>
          <w:tcPr>
            <w:tcW w:w="107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928"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84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i w:val="0"/>
                <w:color w:val="000000"/>
                <w:sz w:val="22"/>
                <w:szCs w:val="22"/>
                <w:highlight w:val="none"/>
                <w:u w:val="none"/>
                <w:lang w:val="en-US" w:eastAsia="zh-CN"/>
              </w:rPr>
            </w:pPr>
            <w:r>
              <w:rPr>
                <w:rFonts w:hint="eastAsia" w:ascii="宋体" w:hAnsi="宋体" w:cs="宋体"/>
                <w:i w:val="0"/>
                <w:color w:val="000000"/>
                <w:sz w:val="22"/>
                <w:szCs w:val="22"/>
                <w:highlight w:val="none"/>
                <w:u w:val="none"/>
                <w:lang w:val="en-US" w:eastAsia="zh-CN"/>
              </w:rPr>
              <w:t>10</w:t>
            </w:r>
          </w:p>
        </w:tc>
        <w:tc>
          <w:tcPr>
            <w:tcW w:w="89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i w:val="0"/>
                <w:color w:val="000000"/>
                <w:sz w:val="22"/>
                <w:szCs w:val="22"/>
                <w:highlight w:val="none"/>
                <w:u w:val="none"/>
                <w:lang w:val="en-US" w:eastAsia="zh-CN"/>
              </w:rPr>
            </w:pPr>
            <w:r>
              <w:rPr>
                <w:rFonts w:hint="eastAsia" w:ascii="宋体" w:hAnsi="宋体" w:cs="宋体"/>
                <w:i w:val="0"/>
                <w:color w:val="000000"/>
                <w:sz w:val="22"/>
                <w:szCs w:val="22"/>
                <w:highlight w:val="none"/>
                <w:u w:val="none"/>
                <w:lang w:val="en-US" w:eastAsia="zh-CN"/>
              </w:rPr>
              <w:t>10</w:t>
            </w:r>
          </w:p>
        </w:tc>
      </w:tr>
      <w:tr>
        <w:tblPrEx>
          <w:shd w:val="clear" w:color="auto" w:fill="auto"/>
          <w:tblLayout w:type="fixed"/>
          <w:tblCellMar>
            <w:top w:w="0" w:type="dxa"/>
            <w:left w:w="0" w:type="dxa"/>
            <w:bottom w:w="0" w:type="dxa"/>
            <w:right w:w="0" w:type="dxa"/>
          </w:tblCellMar>
        </w:tblPrEx>
        <w:trPr>
          <w:trHeight w:val="8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tcBorders>
              <w:top w:val="nil"/>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实际完成率=（实际产出数/计划产出数）*100%；得分=实际完成率*100%</w:t>
            </w:r>
          </w:p>
        </w:tc>
        <w:tc>
          <w:tcPr>
            <w:tcW w:w="1077"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p>
        </w:tc>
        <w:tc>
          <w:tcPr>
            <w:tcW w:w="928"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p>
        </w:tc>
        <w:tc>
          <w:tcPr>
            <w:tcW w:w="84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p>
        </w:tc>
        <w:tc>
          <w:tcPr>
            <w:tcW w:w="89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p>
        </w:tc>
      </w:tr>
      <w:tr>
        <w:tblPrEx>
          <w:tblLayout w:type="fixed"/>
          <w:tblCellMar>
            <w:top w:w="0" w:type="dxa"/>
            <w:left w:w="0" w:type="dxa"/>
            <w:bottom w:w="0" w:type="dxa"/>
            <w:right w:w="0" w:type="dxa"/>
          </w:tblCellMar>
        </w:tblPrEx>
        <w:trPr>
          <w:trHeight w:val="902"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C3产出时效（5分）</w:t>
            </w:r>
          </w:p>
        </w:tc>
        <w:tc>
          <w:tcPr>
            <w:tcW w:w="1054" w:type="dxa"/>
            <w:vMerge w:val="restart"/>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完成及时性</w:t>
            </w:r>
          </w:p>
        </w:tc>
        <w:tc>
          <w:tcPr>
            <w:tcW w:w="2986"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项目实际完成时间与计划完成时间的比较，用以反映和考核项目产出时效目标的实现程度。</w:t>
            </w:r>
          </w:p>
        </w:tc>
        <w:tc>
          <w:tcPr>
            <w:tcW w:w="4923"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①项目开工率（%）指标，完成该指标得满分；</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②项目完工时间指标，完成该指标得满分；</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实际完成率=（实际产出数/计划产出数）*100%；得分=实际完成率*100%</w:t>
            </w:r>
          </w:p>
        </w:tc>
        <w:tc>
          <w:tcPr>
            <w:tcW w:w="107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c>
          <w:tcPr>
            <w:tcW w:w="928"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i w:val="0"/>
                <w:color w:val="000000"/>
                <w:sz w:val="22"/>
                <w:szCs w:val="22"/>
                <w:highlight w:val="none"/>
                <w:u w:val="none"/>
                <w:lang w:val="en-US"/>
              </w:rPr>
            </w:pPr>
            <w:r>
              <w:rPr>
                <w:rFonts w:hint="eastAsia" w:ascii="宋体" w:hAnsi="宋体" w:eastAsia="宋体" w:cs="宋体"/>
                <w:i w:val="0"/>
                <w:color w:val="000000"/>
                <w:kern w:val="0"/>
                <w:sz w:val="22"/>
                <w:szCs w:val="22"/>
                <w:highlight w:val="none"/>
                <w:u w:val="none"/>
                <w:lang w:val="en-US" w:eastAsia="zh-CN" w:bidi="ar"/>
              </w:rPr>
              <w:t>5</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sz w:val="22"/>
                <w:szCs w:val="22"/>
                <w:highlight w:val="none"/>
                <w:u w:val="none"/>
                <w:lang w:val="en-US" w:eastAsia="zh-CN"/>
              </w:rPr>
              <w:t>5</w:t>
            </w:r>
          </w:p>
        </w:tc>
      </w:tr>
      <w:tr>
        <w:tblPrEx>
          <w:tblLayout w:type="fixed"/>
          <w:tblCellMar>
            <w:top w:w="0" w:type="dxa"/>
            <w:left w:w="0" w:type="dxa"/>
            <w:bottom w:w="0" w:type="dxa"/>
            <w:right w:w="0" w:type="dxa"/>
          </w:tblCellMar>
        </w:tblPrEx>
        <w:trPr>
          <w:trHeight w:val="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p>
        </w:tc>
        <w:tc>
          <w:tcPr>
            <w:tcW w:w="107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2022年12月</w:t>
            </w:r>
          </w:p>
        </w:tc>
        <w:tc>
          <w:tcPr>
            <w:tcW w:w="928"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=2022年12月</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r>
      <w:tr>
        <w:tblPrEx>
          <w:tblLayout w:type="fixed"/>
          <w:tblCellMar>
            <w:top w:w="0" w:type="dxa"/>
            <w:left w:w="0" w:type="dxa"/>
            <w:bottom w:w="0" w:type="dxa"/>
            <w:right w:w="0" w:type="dxa"/>
          </w:tblCellMar>
        </w:tblPrEx>
        <w:trPr>
          <w:trHeight w:val="837"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C4产出成本（10分）</w:t>
            </w:r>
          </w:p>
        </w:tc>
        <w:tc>
          <w:tcPr>
            <w:tcW w:w="105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成本节约率</w:t>
            </w:r>
          </w:p>
        </w:tc>
        <w:tc>
          <w:tcPr>
            <w:tcW w:w="2986" w:type="dxa"/>
            <w:vMerge w:val="restart"/>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完成项目计划工作目标的实际节约成本与计划成本的比率，用以反映和考核项目的成本节约程度。</w:t>
            </w:r>
          </w:p>
        </w:tc>
        <w:tc>
          <w:tcPr>
            <w:tcW w:w="4923" w:type="dxa"/>
            <w:vMerge w:val="restart"/>
            <w:tcBorders>
              <w:top w:val="single" w:color="auto" w:sz="4" w:space="0"/>
              <w:left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①采集土壤样品流转费（万元）指标，完成该指标得满分；</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②土壤样品检测分析费用（万元）指标，完成该指标得满分。</w:t>
            </w:r>
          </w:p>
          <w:p>
            <w:pPr>
              <w:keepNext w:val="0"/>
              <w:keepLines w:val="0"/>
              <w:pageBreakBefore w:val="0"/>
              <w:widowControl/>
              <w:suppressLineNumbers w:val="0"/>
              <w:kinsoku/>
              <w:wordWrap/>
              <w:bidi w:val="0"/>
              <w:spacing w:line="570" w:lineRule="exact"/>
              <w:jc w:val="both"/>
              <w:textAlignment w:val="center"/>
              <w:rPr>
                <w:rFonts w:hint="eastAsia" w:ascii="宋体" w:hAnsi="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③购置取土壤样品的耗材成本（万元/批）指标，完成该指标得满分</w:t>
            </w:r>
            <w:r>
              <w:rPr>
                <w:rFonts w:hint="eastAsia" w:ascii="宋体" w:hAnsi="宋体" w:cs="宋体"/>
                <w:i w:val="0"/>
                <w:color w:val="000000"/>
                <w:kern w:val="0"/>
                <w:sz w:val="22"/>
                <w:szCs w:val="22"/>
                <w:highlight w:val="none"/>
                <w:u w:val="none"/>
                <w:lang w:val="en-US" w:eastAsia="zh-CN" w:bidi="ar"/>
              </w:rPr>
              <w:t>：</w:t>
            </w:r>
          </w:p>
          <w:p>
            <w:pPr>
              <w:keepNext w:val="0"/>
              <w:keepLines w:val="0"/>
              <w:pageBreakBefore w:val="0"/>
              <w:widowControl/>
              <w:suppressLineNumbers w:val="0"/>
              <w:kinsoku/>
              <w:wordWrap/>
              <w:bidi w:val="0"/>
              <w:spacing w:line="570" w:lineRule="exact"/>
              <w:jc w:val="both"/>
              <w:textAlignment w:val="center"/>
              <w:rPr>
                <w:rFonts w:hint="eastAsia"/>
                <w:highlight w:val="none"/>
                <w:lang w:val="en-US" w:eastAsia="zh-CN"/>
              </w:rPr>
            </w:pPr>
            <w:r>
              <w:rPr>
                <w:rFonts w:hint="eastAsia" w:ascii="宋体" w:hAnsi="宋体" w:eastAsia="宋体" w:cs="宋体"/>
                <w:i w:val="0"/>
                <w:color w:val="000000"/>
                <w:kern w:val="0"/>
                <w:sz w:val="22"/>
                <w:szCs w:val="22"/>
                <w:highlight w:val="none"/>
                <w:u w:val="none"/>
                <w:lang w:val="en-US" w:eastAsia="zh-CN" w:bidi="ar"/>
              </w:rPr>
              <w:t>④</w:t>
            </w:r>
            <w:r>
              <w:rPr>
                <w:rFonts w:hint="eastAsia" w:ascii="宋体" w:hAnsi="宋体" w:cs="宋体"/>
                <w:i w:val="0"/>
                <w:color w:val="000000"/>
                <w:kern w:val="0"/>
                <w:sz w:val="22"/>
                <w:szCs w:val="22"/>
                <w:highlight w:val="none"/>
                <w:u w:val="none"/>
                <w:lang w:val="en-US" w:eastAsia="zh-CN" w:bidi="ar"/>
              </w:rPr>
              <w:t>购买土壤</w:t>
            </w:r>
            <w:r>
              <w:rPr>
                <w:rFonts w:hint="eastAsia" w:ascii="宋体" w:hAnsi="宋体" w:eastAsia="宋体" w:cs="宋体"/>
                <w:i w:val="0"/>
                <w:color w:val="000000"/>
                <w:kern w:val="0"/>
                <w:sz w:val="22"/>
                <w:szCs w:val="22"/>
                <w:highlight w:val="none"/>
                <w:u w:val="none"/>
                <w:lang w:val="en-US" w:eastAsia="zh-CN" w:bidi="ar"/>
              </w:rPr>
              <w:t>样品的工具成本（万元/批）指标，完成该指标得满分；</w:t>
            </w:r>
          </w:p>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成本节约率=[（计划成本-实际成本）/计划成本]×100%，得分=际完成率*100%实际成本：项目实施单位如期、保质、保量完成既定工作目标实际所耗费的支出；计划成本：项目实施单位为完成工作目标计划安排的支出，一般以项目预算为参考。</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&lt;=8.35</w:t>
            </w:r>
          </w:p>
        </w:tc>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=8.35</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r>
      <w:tr>
        <w:tblPrEx>
          <w:shd w:val="clear" w:color="auto" w:fill="auto"/>
          <w:tblLayout w:type="fixed"/>
          <w:tblCellMar>
            <w:top w:w="0" w:type="dxa"/>
            <w:left w:w="0" w:type="dxa"/>
            <w:bottom w:w="0" w:type="dxa"/>
            <w:right w:w="0" w:type="dxa"/>
          </w:tblCellMar>
        </w:tblPrEx>
        <w:trPr>
          <w:trHeight w:val="997"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p>
        </w:tc>
        <w:tc>
          <w:tcPr>
            <w:tcW w:w="1054"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p>
        </w:tc>
        <w:tc>
          <w:tcPr>
            <w:tcW w:w="2986"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p>
        </w:tc>
        <w:tc>
          <w:tcPr>
            <w:tcW w:w="4923"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&lt;=</w:t>
            </w:r>
            <w:r>
              <w:rPr>
                <w:rFonts w:hint="eastAsia" w:ascii="宋体" w:hAnsi="宋体" w:cs="宋体"/>
                <w:i w:val="0"/>
                <w:color w:val="000000"/>
                <w:kern w:val="0"/>
                <w:sz w:val="20"/>
                <w:szCs w:val="20"/>
                <w:highlight w:val="none"/>
                <w:u w:val="none"/>
                <w:lang w:val="en-US" w:eastAsia="zh-CN" w:bidi="ar"/>
              </w:rPr>
              <w:t>102.55</w:t>
            </w:r>
          </w:p>
        </w:tc>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w:t>
            </w:r>
            <w:r>
              <w:rPr>
                <w:rFonts w:hint="eastAsia" w:ascii="宋体" w:hAnsi="宋体" w:cs="宋体"/>
                <w:i w:val="0"/>
                <w:color w:val="000000"/>
                <w:kern w:val="0"/>
                <w:sz w:val="20"/>
                <w:szCs w:val="20"/>
                <w:highlight w:val="none"/>
                <w:u w:val="none"/>
                <w:lang w:val="en-US" w:eastAsia="zh-CN" w:bidi="ar"/>
              </w:rPr>
              <w:t>102.55</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3</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3</w:t>
            </w:r>
          </w:p>
        </w:tc>
      </w:tr>
      <w:tr>
        <w:tblPrEx>
          <w:shd w:val="clear" w:color="auto" w:fill="auto"/>
          <w:tblLayout w:type="fixed"/>
          <w:tblCellMar>
            <w:top w:w="0" w:type="dxa"/>
            <w:left w:w="0" w:type="dxa"/>
            <w:bottom w:w="0" w:type="dxa"/>
            <w:right w:w="0" w:type="dxa"/>
          </w:tblCellMar>
        </w:tblPrEx>
        <w:trPr>
          <w:trHeight w:val="1148"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p>
        </w:tc>
        <w:tc>
          <w:tcPr>
            <w:tcW w:w="1054"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p>
        </w:tc>
        <w:tc>
          <w:tcPr>
            <w:tcW w:w="2986"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p>
        </w:tc>
        <w:tc>
          <w:tcPr>
            <w:tcW w:w="4923"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kern w:val="0"/>
                <w:sz w:val="22"/>
                <w:szCs w:val="22"/>
                <w:highlight w:val="none"/>
                <w:u w:val="none"/>
                <w:lang w:val="en-US" w:eastAsia="zh-CN"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=1.474</w:t>
            </w:r>
          </w:p>
        </w:tc>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=1.474</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2</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2</w:t>
            </w:r>
          </w:p>
        </w:tc>
      </w:tr>
      <w:tr>
        <w:tblPrEx>
          <w:shd w:val="clear" w:color="auto" w:fill="auto"/>
          <w:tblLayout w:type="fixed"/>
          <w:tblCellMar>
            <w:top w:w="0" w:type="dxa"/>
            <w:left w:w="0" w:type="dxa"/>
            <w:bottom w:w="0" w:type="dxa"/>
            <w:right w:w="0" w:type="dxa"/>
          </w:tblCellMar>
        </w:tblPrEx>
        <w:trPr>
          <w:trHeight w:val="6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4923"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sz w:val="22"/>
                <w:szCs w:val="22"/>
                <w:highlight w:val="none"/>
                <w:u w:val="none"/>
                <w:lang w:val="en-US" w:eastAsia="zh-CN"/>
              </w:rPr>
              <w:t>3</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r>
      <w:tr>
        <w:tblPrEx>
          <w:tblLayout w:type="fixed"/>
          <w:tblCellMar>
            <w:top w:w="0" w:type="dxa"/>
            <w:left w:w="0" w:type="dxa"/>
            <w:bottom w:w="0" w:type="dxa"/>
            <w:right w:w="0" w:type="dxa"/>
          </w:tblCellMar>
        </w:tblPrEx>
        <w:trPr>
          <w:trHeight w:val="945"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社会效益指标</w:t>
            </w:r>
          </w:p>
        </w:tc>
        <w:tc>
          <w:tcPr>
            <w:tcW w:w="49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提升土壤资源保护和利用水平指标，完成该指标得满分</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有效提升</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有效提升</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lang w:val="en-US" w:eastAsia="zh-CN"/>
              </w:rPr>
            </w:pPr>
            <w:r>
              <w:rPr>
                <w:rFonts w:hint="eastAsia" w:ascii="宋体" w:hAnsi="宋体" w:eastAsia="宋体" w:cs="宋体"/>
                <w:i w:val="0"/>
                <w:color w:val="000000"/>
                <w:sz w:val="22"/>
                <w:szCs w:val="22"/>
                <w:highlight w:val="none"/>
                <w:u w:val="none"/>
                <w:lang w:val="en-US" w:eastAsia="zh-CN"/>
              </w:rPr>
              <w:t>5</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r>
      <w:tr>
        <w:tblPrEx>
          <w:tblLayout w:type="fixed"/>
          <w:tblCellMar>
            <w:top w:w="0" w:type="dxa"/>
            <w:left w:w="0" w:type="dxa"/>
            <w:bottom w:w="0" w:type="dxa"/>
            <w:right w:w="0" w:type="dxa"/>
          </w:tblCellMar>
        </w:tblPrEx>
        <w:trPr>
          <w:trHeight w:val="469"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298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可持续影响指标</w:t>
            </w:r>
          </w:p>
        </w:tc>
        <w:tc>
          <w:tcPr>
            <w:tcW w:w="49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推进农业高质量发展指标，完成该指标得满分</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持续推进</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0"/>
                <w:szCs w:val="20"/>
                <w:highlight w:val="none"/>
                <w:u w:val="none"/>
                <w:lang w:val="en-US" w:eastAsia="zh-CN" w:bidi="ar"/>
              </w:rPr>
              <w:t>持续推进</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r>
      <w:tr>
        <w:tblPrEx>
          <w:shd w:val="clear" w:color="auto" w:fill="auto"/>
          <w:tblLayout w:type="fixed"/>
          <w:tblCellMar>
            <w:top w:w="0" w:type="dxa"/>
            <w:left w:w="0" w:type="dxa"/>
            <w:bottom w:w="0" w:type="dxa"/>
            <w:right w:w="0" w:type="dxa"/>
          </w:tblCellMar>
        </w:tblPrEx>
        <w:trPr>
          <w:trHeight w:val="4031"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ageBreakBefore w:val="0"/>
              <w:kinsoku/>
              <w:wordWrap/>
              <w:bidi w:val="0"/>
              <w:spacing w:line="570" w:lineRule="exact"/>
              <w:jc w:val="both"/>
              <w:rPr>
                <w:rFonts w:hint="eastAsia" w:ascii="宋体" w:hAnsi="宋体" w:eastAsia="宋体" w:cs="宋体"/>
                <w:i w:val="0"/>
                <w:color w:val="000000"/>
                <w:sz w:val="22"/>
                <w:szCs w:val="22"/>
                <w:highlight w:val="none"/>
                <w:u w:val="none"/>
              </w:rPr>
            </w:pPr>
          </w:p>
        </w:tc>
        <w:tc>
          <w:tcPr>
            <w:tcW w:w="10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满意度</w:t>
            </w:r>
          </w:p>
        </w:tc>
        <w:tc>
          <w:tcPr>
            <w:tcW w:w="298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社会公众或服务对象对项目实施效果的满意程度。</w:t>
            </w:r>
          </w:p>
        </w:tc>
        <w:tc>
          <w:tcPr>
            <w:tcW w:w="49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根据满意度问卷统计情况计算完成比率，指标完成率=Σ样本数（“很满意”×1.0+“满意”×0.8+“一般”×0.6+“不满意”×0.3+“很不满意”×0）/总样本数×100.00%，</w:t>
            </w:r>
            <w:r>
              <w:rPr>
                <w:rFonts w:hint="eastAsia" w:ascii="宋体" w:hAnsi="宋体" w:cs="宋体"/>
                <w:i w:val="0"/>
                <w:color w:val="000000"/>
                <w:kern w:val="0"/>
                <w:sz w:val="22"/>
                <w:szCs w:val="22"/>
                <w:highlight w:val="none"/>
                <w:u w:val="none"/>
                <w:lang w:val="en-US" w:eastAsia="zh-CN" w:bidi="ar"/>
              </w:rPr>
              <w:t>根据</w:t>
            </w:r>
            <w:r>
              <w:rPr>
                <w:rFonts w:hint="eastAsia" w:ascii="宋体" w:hAnsi="宋体" w:eastAsia="宋体" w:cs="宋体"/>
                <w:i w:val="0"/>
                <w:color w:val="000000"/>
                <w:kern w:val="0"/>
                <w:sz w:val="22"/>
                <w:szCs w:val="22"/>
                <w:highlight w:val="none"/>
                <w:u w:val="none"/>
                <w:lang w:val="en-US" w:eastAsia="zh-CN" w:bidi="ar"/>
              </w:rPr>
              <w:t>访谈调研情况进行评分，得分大于等于XX%</w:t>
            </w:r>
            <w:r>
              <w:rPr>
                <w:rFonts w:hint="eastAsia" w:ascii="宋体" w:hAnsi="宋体" w:cs="宋体"/>
                <w:i w:val="0"/>
                <w:color w:val="000000"/>
                <w:kern w:val="0"/>
                <w:sz w:val="22"/>
                <w:szCs w:val="22"/>
                <w:highlight w:val="none"/>
                <w:u w:val="none"/>
                <w:lang w:val="en-US" w:eastAsia="zh-CN" w:bidi="ar"/>
              </w:rPr>
              <w:t>，</w:t>
            </w:r>
            <w:r>
              <w:rPr>
                <w:rFonts w:hint="eastAsia" w:ascii="宋体" w:hAnsi="宋体" w:eastAsia="宋体" w:cs="宋体"/>
                <w:i w:val="0"/>
                <w:color w:val="000000"/>
                <w:kern w:val="0"/>
                <w:sz w:val="22"/>
                <w:szCs w:val="22"/>
                <w:highlight w:val="none"/>
                <w:u w:val="none"/>
                <w:lang w:val="en-US" w:eastAsia="zh-CN" w:bidi="ar"/>
              </w:rPr>
              <w:t>得满分；实际完成率大于60%且小于XX%的，按超过的比重赋分，计算公式为：得分=（实际完成率-60%）/（1-60%）×指标分值；完成率小于60%为不及格，不得分。</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95%</w:t>
            </w:r>
          </w:p>
        </w:tc>
        <w:tc>
          <w:tcPr>
            <w:tcW w:w="9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w:t>
            </w:r>
            <w:r>
              <w:rPr>
                <w:rFonts w:hint="eastAsia" w:ascii="宋体" w:hAnsi="宋体" w:cs="宋体"/>
                <w:i w:val="0"/>
                <w:color w:val="000000"/>
                <w:kern w:val="0"/>
                <w:sz w:val="22"/>
                <w:szCs w:val="22"/>
                <w:highlight w:val="none"/>
                <w:u w:val="none"/>
                <w:lang w:val="en-US" w:eastAsia="zh-CN" w:bidi="ar"/>
              </w:rPr>
              <w:t>97.13%</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i w:val="0"/>
                <w:color w:val="000000"/>
                <w:sz w:val="22"/>
                <w:szCs w:val="22"/>
                <w:highlight w:val="none"/>
                <w:u w:val="none"/>
                <w:lang w:val="en-US" w:eastAsia="zh-CN"/>
              </w:rPr>
            </w:pPr>
            <w:r>
              <w:rPr>
                <w:rFonts w:hint="eastAsia" w:ascii="宋体" w:hAnsi="宋体" w:cs="宋体"/>
                <w:i w:val="0"/>
                <w:color w:val="000000"/>
                <w:sz w:val="22"/>
                <w:szCs w:val="22"/>
                <w:highlight w:val="none"/>
                <w:u w:val="none"/>
                <w:lang w:val="en-US" w:eastAsia="zh-CN"/>
              </w:rPr>
              <w:t>9.28</w:t>
            </w:r>
          </w:p>
        </w:tc>
      </w:tr>
      <w:tr>
        <w:tblPrEx>
          <w:tblLayout w:type="fixed"/>
          <w:tblCellMar>
            <w:top w:w="0" w:type="dxa"/>
            <w:left w:w="0" w:type="dxa"/>
            <w:bottom w:w="0" w:type="dxa"/>
            <w:right w:w="0" w:type="dxa"/>
          </w:tblCellMar>
        </w:tblPrEx>
        <w:trPr>
          <w:trHeight w:val="420" w:hRule="atLeast"/>
        </w:trPr>
        <w:tc>
          <w:tcPr>
            <w:tcW w:w="10335" w:type="dxa"/>
            <w:gridSpan w:val="5"/>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合计</w:t>
            </w:r>
          </w:p>
        </w:tc>
        <w:tc>
          <w:tcPr>
            <w:tcW w:w="1077"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928"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pageBreakBefore w:val="0"/>
              <w:kinsoku/>
              <w:wordWrap/>
              <w:bidi w:val="0"/>
              <w:spacing w:line="570" w:lineRule="exact"/>
              <w:jc w:val="center"/>
              <w:rPr>
                <w:rFonts w:hint="eastAsia" w:ascii="宋体" w:hAnsi="宋体" w:eastAsia="宋体" w:cs="宋体"/>
                <w:i w:val="0"/>
                <w:color w:val="000000"/>
                <w:sz w:val="22"/>
                <w:szCs w:val="22"/>
                <w:highlight w:val="none"/>
                <w:u w:val="none"/>
              </w:rPr>
            </w:pPr>
          </w:p>
        </w:tc>
        <w:tc>
          <w:tcPr>
            <w:tcW w:w="84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8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bidi w:val="0"/>
              <w:spacing w:line="570" w:lineRule="exact"/>
              <w:jc w:val="center"/>
              <w:textAlignment w:val="center"/>
              <w:rPr>
                <w:rFonts w:hint="default" w:ascii="宋体" w:hAnsi="宋体" w:eastAsia="宋体" w:cs="宋体"/>
                <w:i w:val="0"/>
                <w:color w:val="000000"/>
                <w:sz w:val="22"/>
                <w:szCs w:val="22"/>
                <w:highlight w:val="none"/>
                <w:u w:val="none"/>
                <w:lang w:val="en-US" w:eastAsia="zh-CN"/>
              </w:rPr>
            </w:pPr>
            <w:r>
              <w:rPr>
                <w:rFonts w:hint="eastAsia" w:ascii="宋体" w:hAnsi="宋体" w:cs="宋体"/>
                <w:i w:val="0"/>
                <w:color w:val="000000"/>
                <w:sz w:val="22"/>
                <w:szCs w:val="22"/>
                <w:highlight w:val="none"/>
                <w:u w:val="none"/>
                <w:lang w:val="en-US" w:eastAsia="zh-CN"/>
              </w:rPr>
              <w:t>98.28</w:t>
            </w:r>
          </w:p>
        </w:tc>
      </w:tr>
    </w:tbl>
    <w:p>
      <w:pPr>
        <w:pStyle w:val="31"/>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both"/>
        <w:textAlignment w:val="auto"/>
        <w:outlineLvl w:val="1"/>
        <w:rPr>
          <w:rFonts w:hint="default" w:ascii="Times New Roman" w:hAnsi="Times New Roman" w:eastAsia="仿宋_GB2312" w:cs="Times New Roman"/>
          <w:b w:val="0"/>
          <w:bCs/>
          <w:color w:val="auto"/>
          <w:kern w:val="0"/>
          <w:sz w:val="32"/>
          <w:szCs w:val="32"/>
          <w:highlight w:val="none"/>
          <w:lang w:val="en-US" w:eastAsia="zh-CN"/>
        </w:rPr>
        <w:sectPr>
          <w:pgSz w:w="16838" w:h="11906" w:orient="landscape"/>
          <w:pgMar w:top="1800" w:right="1440" w:bottom="1800" w:left="1440"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0"/>
        <w:rPr>
          <w:rFonts w:hint="eastAsia" w:ascii="方正黑体_GBK" w:hAnsi="方正黑体_GBK" w:eastAsia="方正黑体_GBK" w:cs="方正黑体_GBK"/>
          <w:bCs/>
          <w:color w:val="000000"/>
          <w:sz w:val="32"/>
          <w:szCs w:val="32"/>
          <w:highlight w:val="none"/>
          <w:lang w:val="en-US" w:eastAsia="zh-CN"/>
        </w:rPr>
      </w:pPr>
      <w:bookmarkStart w:id="142" w:name="_Toc15575"/>
      <w:bookmarkStart w:id="143" w:name="_Toc29155"/>
      <w:bookmarkStart w:id="144" w:name="_Toc13997_WPSOffice_Level1"/>
      <w:r>
        <w:rPr>
          <w:rFonts w:hint="eastAsia" w:ascii="方正黑体_GBK" w:hAnsi="方正黑体_GBK" w:eastAsia="方正黑体_GBK" w:cs="方正黑体_GBK"/>
          <w:bCs/>
          <w:color w:val="000000"/>
          <w:sz w:val="32"/>
          <w:szCs w:val="32"/>
          <w:highlight w:val="none"/>
          <w:lang w:val="en-US" w:eastAsia="zh-CN"/>
        </w:rPr>
        <w:t>附件3访谈</w:t>
      </w:r>
      <w:bookmarkEnd w:id="142"/>
      <w:r>
        <w:rPr>
          <w:rFonts w:hint="eastAsia" w:ascii="方正黑体_GBK" w:hAnsi="方正黑体_GBK" w:eastAsia="方正黑体_GBK" w:cs="方正黑体_GBK"/>
          <w:bCs/>
          <w:color w:val="000000"/>
          <w:sz w:val="32"/>
          <w:szCs w:val="32"/>
          <w:highlight w:val="none"/>
          <w:lang w:val="en-US" w:eastAsia="zh-CN"/>
        </w:rPr>
        <w:t>报告</w:t>
      </w:r>
      <w:bookmarkEnd w:id="143"/>
      <w:bookmarkEnd w:id="144"/>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both"/>
        <w:textAlignment w:val="auto"/>
        <w:rPr>
          <w:rFonts w:hint="eastAsia" w:ascii="方正黑体_GBK" w:hAnsi="方正黑体_GBK" w:eastAsia="方正黑体_GBK" w:cs="方正黑体_GBK"/>
          <w:bCs/>
          <w:kern w:val="0"/>
          <w:sz w:val="32"/>
          <w:szCs w:val="32"/>
          <w:highlight w:val="none"/>
        </w:rPr>
      </w:pPr>
      <w:bookmarkStart w:id="145" w:name="_Toc2238_WPSOffice_Level2"/>
      <w:bookmarkStart w:id="146" w:name="_Toc11714_WPSOffice_Level1"/>
      <w:bookmarkStart w:id="147" w:name="_Toc31023_WPSOffice_Level1"/>
      <w:bookmarkStart w:id="148" w:name="_Toc452_WPSOffice_Level2"/>
      <w:bookmarkStart w:id="149" w:name="_Toc24663_WPSOffice_Level1"/>
      <w:bookmarkStart w:id="150" w:name="_Toc10947"/>
      <w:bookmarkStart w:id="151" w:name="_Toc30622"/>
      <w:bookmarkStart w:id="152" w:name="_Toc15312"/>
      <w:r>
        <w:rPr>
          <w:rFonts w:hint="eastAsia" w:ascii="方正黑体_GBK" w:hAnsi="方正黑体_GBK" w:eastAsia="方正黑体_GBK" w:cs="方正黑体_GBK"/>
          <w:bCs/>
          <w:kern w:val="0"/>
          <w:sz w:val="32"/>
          <w:szCs w:val="32"/>
          <w:highlight w:val="none"/>
        </w:rPr>
        <w:t>伽师县农技中心2022年第三次全国土壤普查工作项目</w:t>
      </w:r>
      <w:bookmarkEnd w:id="145"/>
      <w:bookmarkEnd w:id="146"/>
      <w:bookmarkEnd w:id="147"/>
      <w:bookmarkEnd w:id="148"/>
      <w:bookmarkEnd w:id="149"/>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both"/>
        <w:textAlignment w:val="auto"/>
        <w:rPr>
          <w:rFonts w:hint="eastAsia" w:ascii="方正黑体_GBK" w:hAnsi="方正黑体_GBK" w:eastAsia="方正黑体_GBK" w:cs="方正黑体_GBK"/>
          <w:bCs/>
          <w:kern w:val="0"/>
          <w:sz w:val="32"/>
          <w:szCs w:val="32"/>
          <w:highlight w:val="none"/>
        </w:rPr>
      </w:pPr>
      <w:bookmarkStart w:id="153" w:name="_Toc28370_WPSOffice_Level2"/>
      <w:bookmarkStart w:id="154" w:name="_Toc32605_WPSOffice_Level1"/>
      <w:bookmarkStart w:id="155" w:name="_Toc28597_WPSOffice_Level1"/>
      <w:bookmarkStart w:id="156" w:name="_Toc1731_WPSOffice_Level1"/>
      <w:bookmarkStart w:id="157" w:name="_Toc32599_WPSOffice_Level2"/>
      <w:r>
        <w:rPr>
          <w:rFonts w:hint="eastAsia" w:ascii="方正黑体_GBK" w:hAnsi="方正黑体_GBK" w:eastAsia="方正黑体_GBK" w:cs="方正黑体_GBK"/>
          <w:bCs/>
          <w:kern w:val="0"/>
          <w:sz w:val="32"/>
          <w:szCs w:val="32"/>
          <w:highlight w:val="none"/>
        </w:rPr>
        <w:t>相关负责人访谈提纲</w:t>
      </w:r>
      <w:bookmarkEnd w:id="150"/>
      <w:bookmarkEnd w:id="151"/>
      <w:bookmarkEnd w:id="152"/>
      <w:bookmarkEnd w:id="153"/>
      <w:bookmarkEnd w:id="154"/>
      <w:bookmarkEnd w:id="155"/>
      <w:bookmarkEnd w:id="156"/>
      <w:bookmarkEnd w:id="157"/>
    </w:p>
    <w:p>
      <w:pPr>
        <w:pageBreakBefore w:val="0"/>
        <w:numPr>
          <w:ilvl w:val="0"/>
          <w:numId w:val="0"/>
        </w:numPr>
        <w:kinsoku/>
        <w:wordWrap/>
        <w:bidi w:val="0"/>
        <w:spacing w:line="570" w:lineRule="exact"/>
        <w:ind w:leftChars="0" w:firstLine="640" w:firstLineChars="200"/>
        <w:jc w:val="both"/>
        <w:rPr>
          <w:rFonts w:hint="default" w:ascii="方正仿宋_GBK" w:hAnsi="方正仿宋_GBK" w:eastAsia="方正仿宋_GBK" w:cs="方正仿宋_GBK"/>
          <w:color w:val="auto"/>
          <w:kern w:val="0"/>
          <w:sz w:val="32"/>
          <w:szCs w:val="32"/>
          <w:highlight w:val="none"/>
          <w:lang w:val="en-US" w:eastAsia="zh-CN" w:bidi="ar"/>
        </w:rPr>
      </w:pPr>
      <w:bookmarkStart w:id="158" w:name="_Toc1331_WPSOffice_Level1"/>
      <w:bookmarkStart w:id="159" w:name="_Toc3030_WPSOffice_Level1"/>
      <w:bookmarkStart w:id="160" w:name="_Toc24709"/>
      <w:bookmarkStart w:id="161" w:name="_Toc14809"/>
      <w:bookmarkStart w:id="162" w:name="_Toc18309_WPSOffice_Level1"/>
      <w:bookmarkStart w:id="163" w:name="_Toc14030_WPSOffice_Level2"/>
      <w:r>
        <w:rPr>
          <w:rFonts w:hint="default" w:ascii="方正仿宋_GBK" w:hAnsi="方正仿宋_GBK" w:eastAsia="方正仿宋_GBK" w:cs="方正仿宋_GBK"/>
          <w:color w:val="auto"/>
          <w:kern w:val="0"/>
          <w:sz w:val="32"/>
          <w:szCs w:val="32"/>
          <w:highlight w:val="none"/>
          <w:lang w:val="en-US" w:eastAsia="zh-CN" w:bidi="ar"/>
        </w:rPr>
        <w:t>1.请您从以下几点谈谈该项目的概况。</w:t>
      </w:r>
      <w:bookmarkEnd w:id="158"/>
      <w:bookmarkEnd w:id="159"/>
      <w:bookmarkEnd w:id="160"/>
      <w:bookmarkEnd w:id="161"/>
      <w:bookmarkEnd w:id="162"/>
      <w:bookmarkEnd w:id="163"/>
    </w:p>
    <w:p>
      <w:pPr>
        <w:pageBreakBefore w:val="0"/>
        <w:numPr>
          <w:ilvl w:val="0"/>
          <w:numId w:val="0"/>
        </w:numPr>
        <w:kinsoku/>
        <w:wordWrap/>
        <w:bidi w:val="0"/>
        <w:spacing w:line="570" w:lineRule="exact"/>
        <w:ind w:leftChars="0" w:firstLine="640" w:firstLineChars="200"/>
        <w:jc w:val="both"/>
        <w:rPr>
          <w:rFonts w:hint="default" w:ascii="方正仿宋_GBK" w:hAnsi="方正仿宋_GBK" w:eastAsia="方正仿宋_GBK" w:cs="方正仿宋_GBK"/>
          <w:color w:val="auto"/>
          <w:kern w:val="0"/>
          <w:sz w:val="32"/>
          <w:szCs w:val="32"/>
          <w:highlight w:val="none"/>
          <w:lang w:val="en-US" w:eastAsia="zh-CN" w:bidi="ar"/>
        </w:rPr>
      </w:pPr>
      <w:bookmarkStart w:id="164" w:name="_Toc28738"/>
      <w:bookmarkStart w:id="165" w:name="_Toc18309_WPSOffice_Level2"/>
      <w:bookmarkStart w:id="166" w:name="_Toc27067"/>
      <w:bookmarkStart w:id="167" w:name="_Toc3030_WPSOffice_Level2"/>
      <w:bookmarkStart w:id="168" w:name="_Toc1331_WPSOffice_Level2"/>
      <w:bookmarkStart w:id="169" w:name="_Toc26050"/>
      <w:r>
        <w:rPr>
          <w:rFonts w:hint="default" w:ascii="方正仿宋_GBK" w:hAnsi="方正仿宋_GBK" w:eastAsia="方正仿宋_GBK" w:cs="方正仿宋_GBK"/>
          <w:color w:val="auto"/>
          <w:kern w:val="0"/>
          <w:sz w:val="32"/>
          <w:szCs w:val="32"/>
          <w:highlight w:val="none"/>
          <w:lang w:val="en-US" w:eastAsia="zh-CN" w:bidi="ar"/>
        </w:rPr>
        <w:t>（1）项目立项时间与背景；</w:t>
      </w:r>
      <w:bookmarkEnd w:id="164"/>
      <w:bookmarkEnd w:id="165"/>
      <w:bookmarkEnd w:id="166"/>
      <w:bookmarkEnd w:id="167"/>
      <w:bookmarkEnd w:id="168"/>
      <w:bookmarkEnd w:id="169"/>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答：2022年7月月底</w:t>
      </w:r>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背景：2022年1月29日，经李克强总理签批同意，国务院印发《关于开展第三次全国土壤普查的通知》。2022年2月25日，国务院召开第三次全国土壤普查启动会议，会上胡春华副总理强调此次普查是一次重要的国情国力调查，是一项必须完成好的政治任务。要通过普查获得详细准确的土壤资源状况数据，为守牢耕地红线，落实藏粮于地、藏粮于技战略，确保国家粮食安全奠定重要基础；为精准有效推进农业发展、绿色转型和高质量发展，促进生态文明建设提供支撑。</w:t>
      </w:r>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bookmarkStart w:id="170" w:name="_Toc14715"/>
      <w:bookmarkStart w:id="171" w:name="_Toc32562"/>
      <w:bookmarkStart w:id="172" w:name="_Toc13131"/>
      <w:bookmarkStart w:id="173" w:name="_Toc195_WPSOffice_Level2"/>
      <w:bookmarkStart w:id="174" w:name="_Toc12697"/>
      <w:bookmarkStart w:id="175" w:name="_Toc23559_WPSOffice_Level2"/>
      <w:bookmarkStart w:id="176" w:name="_Toc1807_WPSOffice_Level2"/>
      <w:r>
        <w:rPr>
          <w:rFonts w:hint="eastAsia" w:ascii="方正仿宋_GBK" w:hAnsi="方正仿宋_GBK" w:eastAsia="方正仿宋_GBK" w:cs="方正仿宋_GBK"/>
          <w:color w:val="auto"/>
          <w:kern w:val="0"/>
          <w:sz w:val="32"/>
          <w:szCs w:val="32"/>
          <w:highlight w:val="none"/>
          <w:lang w:val="en-US" w:eastAsia="zh-CN" w:bidi="ar"/>
        </w:rPr>
        <w:t>（2）项目立项的目标；</w:t>
      </w:r>
      <w:bookmarkEnd w:id="170"/>
      <w:bookmarkEnd w:id="171"/>
      <w:bookmarkEnd w:id="172"/>
      <w:bookmarkEnd w:id="173"/>
      <w:bookmarkEnd w:id="174"/>
      <w:bookmarkEnd w:id="175"/>
      <w:bookmarkEnd w:id="176"/>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答：准确掌握土壤质量和利用状况，全面提升土壤资源保护和利用水平，保护生态环境，确保到2025年实现对全县耕地，园地，林地，盐碱地，草地等土壤“全面体检”，摸清土壤质量，为守住耕地红线，保护生态环境优化农业生产布局推进，农业高质量发展奠定坚实基础。</w:t>
      </w:r>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（3）伽师县农技中心2022年第三次全国土壤普查工作项目内容和实施情况说一下？</w:t>
      </w:r>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答：本项目预算资金119.88，实际到位资金119.88万元。截至2022年12月31日，本项目实际支出119.88万元，预算执行率100%。本项目资金主要用于：采集土壤样品流转2386次、土壤样品检测分析13987项、购买土壤样品耗材1批、购买土壤样品工具1批。</w:t>
      </w:r>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4.</w:t>
      </w:r>
      <w:r>
        <w:rPr>
          <w:rFonts w:hint="default" w:ascii="方正仿宋_GBK" w:hAnsi="方正仿宋_GBK" w:eastAsia="方正仿宋_GBK" w:cs="方正仿宋_GBK"/>
          <w:color w:val="auto"/>
          <w:kern w:val="0"/>
          <w:sz w:val="32"/>
          <w:szCs w:val="32"/>
          <w:highlight w:val="none"/>
          <w:lang w:val="en-US" w:eastAsia="zh-CN" w:bidi="ar"/>
        </w:rPr>
        <w:t>该项目取得的成绩与经验做法</w:t>
      </w:r>
      <w:r>
        <w:rPr>
          <w:rFonts w:hint="eastAsia" w:ascii="方正仿宋_GBK" w:hAnsi="方正仿宋_GBK" w:eastAsia="方正仿宋_GBK" w:cs="方正仿宋_GBK"/>
          <w:color w:val="auto"/>
          <w:kern w:val="0"/>
          <w:sz w:val="32"/>
          <w:szCs w:val="32"/>
          <w:highlight w:val="none"/>
          <w:lang w:val="en-US" w:eastAsia="zh-CN" w:bidi="ar"/>
        </w:rPr>
        <w:t>；</w:t>
      </w:r>
    </w:p>
    <w:p>
      <w:pPr>
        <w:pageBreakBefore w:val="0"/>
        <w:numPr>
          <w:ilvl w:val="0"/>
          <w:numId w:val="0"/>
        </w:numPr>
        <w:kinsoku/>
        <w:wordWrap/>
        <w:bidi w:val="0"/>
        <w:spacing w:line="570" w:lineRule="exact"/>
        <w:ind w:leftChars="0" w:firstLine="640" w:firstLineChars="200"/>
        <w:jc w:val="both"/>
        <w:rPr>
          <w:rFonts w:hint="default"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答：本项目实施后</w:t>
      </w:r>
      <w:r>
        <w:rPr>
          <w:rFonts w:hint="default" w:ascii="方正仿宋_GBK" w:hAnsi="方正仿宋_GBK" w:eastAsia="方正仿宋_GBK" w:cs="方正仿宋_GBK"/>
          <w:color w:val="auto"/>
          <w:kern w:val="0"/>
          <w:sz w:val="32"/>
          <w:szCs w:val="32"/>
          <w:highlight w:val="none"/>
          <w:lang w:val="en-US" w:eastAsia="zh-CN" w:bidi="ar"/>
        </w:rPr>
        <w:t>土壤类型及分布规律、土壤资源现状及变化趋势，真实准确掌握土壤资源质量</w:t>
      </w:r>
      <w:r>
        <w:rPr>
          <w:rFonts w:hint="eastAsia" w:ascii="方正仿宋_GBK" w:hAnsi="方正仿宋_GBK" w:eastAsia="方正仿宋_GBK" w:cs="方正仿宋_GBK"/>
          <w:color w:val="auto"/>
          <w:kern w:val="0"/>
          <w:sz w:val="32"/>
          <w:szCs w:val="32"/>
          <w:highlight w:val="none"/>
          <w:lang w:val="en-US" w:eastAsia="zh-CN" w:bidi="ar"/>
        </w:rPr>
        <w:t>，</w:t>
      </w:r>
      <w:r>
        <w:rPr>
          <w:rFonts w:hint="default" w:ascii="方正仿宋_GBK" w:hAnsi="方正仿宋_GBK" w:eastAsia="方正仿宋_GBK" w:cs="方正仿宋_GBK"/>
          <w:color w:val="auto"/>
          <w:kern w:val="0"/>
          <w:sz w:val="32"/>
          <w:szCs w:val="32"/>
          <w:highlight w:val="none"/>
          <w:lang w:val="en-US" w:eastAsia="zh-CN" w:bidi="ar"/>
        </w:rPr>
        <w:t xml:space="preserve">性状和利用状况等基础数据，为土壤科学分类、规划利用、改良培肥、保护管理等提供科学支撑，为全县制定经济社会发展和生态建设等重大政策提供决策依据。 </w:t>
      </w:r>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5.请您简要介绍该项目的预算申请编报、审批和拨付流程。</w:t>
      </w:r>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bookmarkStart w:id="177" w:name="_Toc24027"/>
      <w:r>
        <w:rPr>
          <w:rFonts w:hint="eastAsia" w:ascii="方正仿宋_GBK" w:hAnsi="方正仿宋_GBK" w:eastAsia="方正仿宋_GBK" w:cs="方正仿宋_GBK"/>
          <w:color w:val="auto"/>
          <w:kern w:val="0"/>
          <w:sz w:val="32"/>
          <w:szCs w:val="32"/>
          <w:highlight w:val="none"/>
          <w:lang w:val="en-US" w:eastAsia="zh-CN" w:bidi="ar"/>
        </w:rPr>
        <w:t>答：严格按照财政部门对专项债券项目的预算申请编报、审批和拨付流程开展相关工作。</w:t>
      </w:r>
      <w:bookmarkEnd w:id="177"/>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6.请您谈谈该项目实施过程中出现的问题或难点？</w:t>
      </w:r>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答：一是前期外采工作速度较慢，原因是外采人员专业知识不</w:t>
      </w:r>
      <w:r>
        <w:rPr>
          <w:rFonts w:hint="default" w:ascii="方正仿宋_GBK" w:hAnsi="方正仿宋_GBK" w:eastAsia="方正仿宋_GBK" w:cs="方正仿宋_GBK"/>
          <w:color w:val="auto"/>
          <w:kern w:val="0"/>
          <w:sz w:val="32"/>
          <w:szCs w:val="32"/>
          <w:highlight w:val="none"/>
          <w:lang w:val="en-US" w:eastAsia="zh-CN" w:bidi="ar"/>
        </w:rPr>
        <w:t>高。</w:t>
      </w:r>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default" w:ascii="方正仿宋_GBK" w:hAnsi="方正仿宋_GBK" w:eastAsia="方正仿宋_GBK" w:cs="方正仿宋_GBK"/>
          <w:color w:val="auto"/>
          <w:kern w:val="0"/>
          <w:sz w:val="32"/>
          <w:szCs w:val="32"/>
          <w:highlight w:val="none"/>
          <w:lang w:val="en-US" w:eastAsia="zh-CN" w:bidi="ar"/>
        </w:rPr>
        <w:t xml:space="preserve">二是外采终端设备落后，信号差。 </w:t>
      </w:r>
    </w:p>
    <w:p>
      <w:pPr>
        <w:pageBreakBefore w:val="0"/>
        <w:numPr>
          <w:ilvl w:val="0"/>
          <w:numId w:val="0"/>
        </w:numPr>
        <w:kinsoku/>
        <w:wordWrap/>
        <w:bidi w:val="0"/>
        <w:spacing w:line="570" w:lineRule="exact"/>
        <w:ind w:leftChars="0" w:firstLine="640" w:firstLineChars="200"/>
        <w:jc w:val="both"/>
        <w:rPr>
          <w:rFonts w:hint="default" w:ascii="方正仿宋_GBK" w:hAnsi="方正仿宋_GBK" w:eastAsia="方正仿宋_GBK" w:cs="方正仿宋_GBK"/>
          <w:color w:val="auto"/>
          <w:kern w:val="0"/>
          <w:sz w:val="32"/>
          <w:szCs w:val="32"/>
          <w:highlight w:val="none"/>
          <w:lang w:val="en-US" w:eastAsia="zh-CN" w:bidi="ar"/>
        </w:rPr>
      </w:pPr>
      <w:r>
        <w:rPr>
          <w:rFonts w:hint="default" w:ascii="方正仿宋_GBK" w:hAnsi="方正仿宋_GBK" w:eastAsia="方正仿宋_GBK" w:cs="方正仿宋_GBK"/>
          <w:color w:val="auto"/>
          <w:kern w:val="0"/>
          <w:sz w:val="32"/>
          <w:szCs w:val="32"/>
          <w:highlight w:val="none"/>
          <w:lang w:val="en-US" w:eastAsia="zh-CN" w:bidi="ar"/>
        </w:rPr>
        <w:t>三是相关人员经验不足。</w:t>
      </w:r>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7.</w:t>
      </w:r>
      <w:r>
        <w:rPr>
          <w:rFonts w:hint="default" w:ascii="方正仿宋_GBK" w:hAnsi="方正仿宋_GBK" w:eastAsia="方正仿宋_GBK" w:cs="方正仿宋_GBK"/>
          <w:color w:val="auto"/>
          <w:kern w:val="0"/>
          <w:sz w:val="32"/>
          <w:szCs w:val="32"/>
          <w:highlight w:val="none"/>
          <w:lang w:val="en-US" w:eastAsia="zh-CN" w:bidi="ar"/>
        </w:rPr>
        <w:t xml:space="preserve"> </w:t>
      </w:r>
      <w:r>
        <w:rPr>
          <w:rFonts w:hint="eastAsia" w:ascii="方正仿宋_GBK" w:hAnsi="方正仿宋_GBK" w:eastAsia="方正仿宋_GBK" w:cs="方正仿宋_GBK"/>
          <w:color w:val="auto"/>
          <w:kern w:val="0"/>
          <w:sz w:val="32"/>
          <w:szCs w:val="32"/>
          <w:highlight w:val="none"/>
          <w:lang w:val="en-US" w:eastAsia="zh-CN" w:bidi="ar"/>
        </w:rPr>
        <w:t>对这些问题你们下一步的工作规划是什么？</w:t>
      </w:r>
    </w:p>
    <w:p>
      <w:pPr>
        <w:pageBreakBefore w:val="0"/>
        <w:numPr>
          <w:ilvl w:val="0"/>
          <w:numId w:val="0"/>
        </w:numPr>
        <w:kinsoku/>
        <w:wordWrap/>
        <w:bidi w:val="0"/>
        <w:spacing w:line="570" w:lineRule="exact"/>
        <w:ind w:leftChars="0" w:firstLine="640" w:firstLineChars="200"/>
        <w:jc w:val="both"/>
        <w:rPr>
          <w:rFonts w:hint="default"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答：一是提前</w:t>
      </w:r>
      <w:r>
        <w:rPr>
          <w:rFonts w:hint="default" w:ascii="方正仿宋_GBK" w:hAnsi="方正仿宋_GBK" w:eastAsia="方正仿宋_GBK" w:cs="方正仿宋_GBK"/>
          <w:color w:val="auto"/>
          <w:kern w:val="0"/>
          <w:sz w:val="32"/>
          <w:szCs w:val="32"/>
          <w:highlight w:val="none"/>
          <w:lang w:val="en-US" w:eastAsia="zh-CN" w:bidi="ar"/>
        </w:rPr>
        <w:t>谋划外采工作，提前培训外采人员、提前准备好所有工具，加强沟通制备和检测单位。</w:t>
      </w:r>
      <w:r>
        <w:rPr>
          <w:rFonts w:hint="eastAsia" w:ascii="方正仿宋_GBK" w:hAnsi="方正仿宋_GBK" w:eastAsia="方正仿宋_GBK" w:cs="方正仿宋_GBK"/>
          <w:color w:val="auto"/>
          <w:kern w:val="0"/>
          <w:sz w:val="32"/>
          <w:szCs w:val="32"/>
          <w:highlight w:val="none"/>
          <w:lang w:val="en-US" w:eastAsia="zh-CN" w:bidi="ar"/>
        </w:rPr>
        <w:t>二</w:t>
      </w:r>
      <w:r>
        <w:rPr>
          <w:rFonts w:hint="default" w:ascii="方正仿宋_GBK" w:hAnsi="方正仿宋_GBK" w:eastAsia="方正仿宋_GBK" w:cs="方正仿宋_GBK"/>
          <w:color w:val="auto"/>
          <w:kern w:val="0"/>
          <w:sz w:val="32"/>
          <w:szCs w:val="32"/>
          <w:highlight w:val="none"/>
          <w:lang w:val="en-US" w:eastAsia="zh-CN" w:bidi="ar"/>
        </w:rPr>
        <w:t>是外采人员交通工具及人员尽量固定，避免耽误外采进度。三是加强沟通协调，我单位及时向县领导汇报项目进度，加强与制备和检测单位的沟通，确保项目按期完工。</w:t>
      </w:r>
    </w:p>
    <w:p>
      <w:pPr>
        <w:pageBreakBefore w:val="0"/>
        <w:kinsoku/>
        <w:wordWrap/>
        <w:bidi w:val="0"/>
        <w:spacing w:line="570" w:lineRule="exact"/>
        <w:jc w:val="both"/>
        <w:rPr>
          <w:rFonts w:hint="default" w:ascii="方正仿宋_GBK" w:hAnsi="方正仿宋_GBK" w:eastAsia="方正仿宋_GBK" w:cs="方正仿宋_GBK"/>
          <w:color w:val="auto"/>
          <w:kern w:val="0"/>
          <w:sz w:val="32"/>
          <w:szCs w:val="32"/>
          <w:highlight w:val="none"/>
          <w:lang w:val="en-US" w:eastAsia="zh-CN" w:bidi="ar"/>
        </w:rPr>
      </w:pPr>
      <w:r>
        <w:rPr>
          <w:rFonts w:hint="default" w:ascii="方正仿宋_GBK" w:hAnsi="方正仿宋_GBK" w:eastAsia="方正仿宋_GBK" w:cs="方正仿宋_GBK"/>
          <w:color w:val="auto"/>
          <w:kern w:val="0"/>
          <w:sz w:val="32"/>
          <w:szCs w:val="32"/>
          <w:highlight w:val="none"/>
          <w:lang w:val="en-US" w:eastAsia="zh-CN" w:bidi="ar"/>
        </w:rPr>
        <w:br w:type="page"/>
      </w:r>
    </w:p>
    <w:p>
      <w:pPr>
        <w:pStyle w:val="3"/>
        <w:pageBreakBefore w:val="0"/>
        <w:kinsoku/>
        <w:wordWrap/>
        <w:bidi w:val="0"/>
        <w:spacing w:line="570" w:lineRule="exact"/>
        <w:jc w:val="both"/>
        <w:rPr>
          <w:rFonts w:hint="eastAsia" w:ascii="方正黑体_GBK" w:hAnsi="方正黑体_GBK" w:eastAsia="方正黑体_GBK" w:cs="方正黑体_GBK"/>
          <w:highlight w:val="none"/>
          <w:lang w:val="en-US" w:eastAsia="zh-CN"/>
        </w:rPr>
      </w:pPr>
      <w:bookmarkStart w:id="178" w:name="_Toc13665_WPSOffice_Level1"/>
      <w:r>
        <w:rPr>
          <w:rFonts w:hint="eastAsia" w:ascii="方正黑体_GBK" w:hAnsi="方正黑体_GBK" w:eastAsia="方正黑体_GBK" w:cs="方正黑体_GBK"/>
          <w:highlight w:val="none"/>
          <w:lang w:val="en-US" w:eastAsia="zh-CN"/>
        </w:rPr>
        <w:t>附件4满意度调查问卷</w:t>
      </w:r>
      <w:bookmarkEnd w:id="178"/>
    </w:p>
    <w:p>
      <w:pPr>
        <w:keepLines w:val="0"/>
        <w:pageBreakBefore w:val="0"/>
        <w:kinsoku/>
        <w:wordWrap/>
        <w:bidi w:val="0"/>
        <w:spacing w:after="400" w:line="570" w:lineRule="exact"/>
        <w:jc w:val="center"/>
        <w:rPr>
          <w:rFonts w:hint="eastAsia" w:ascii="方正黑体_GBK" w:hAnsi="方正黑体_GBK" w:eastAsia="方正黑体_GBK" w:cs="方正黑体_GBK"/>
          <w:sz w:val="32"/>
          <w:szCs w:val="32"/>
          <w:highlight w:val="none"/>
        </w:rPr>
      </w:pPr>
      <w:bookmarkStart w:id="179" w:name="_Toc32680_WPSOffice_Level1"/>
      <w:bookmarkStart w:id="180" w:name="_Toc2750_WPSOffice_Level1"/>
      <w:bookmarkStart w:id="181" w:name="_Toc5016_WPSOffice_Level2"/>
      <w:r>
        <w:rPr>
          <w:rFonts w:hint="eastAsia" w:ascii="方正黑体_GBK" w:hAnsi="方正黑体_GBK" w:eastAsia="方正黑体_GBK" w:cs="方正黑体_GBK"/>
          <w:b/>
          <w:sz w:val="32"/>
          <w:szCs w:val="32"/>
          <w:highlight w:val="none"/>
        </w:rPr>
        <w:t>伽师县第三次全国土壤普</w:t>
      </w:r>
      <w:r>
        <w:rPr>
          <w:rFonts w:hint="eastAsia" w:ascii="方正黑体_GBK" w:hAnsi="方正黑体_GBK" w:eastAsia="方正黑体_GBK" w:cs="方正黑体_GBK"/>
          <w:b/>
          <w:sz w:val="32"/>
          <w:szCs w:val="32"/>
          <w:highlight w:val="none"/>
          <w:lang w:val="en-US" w:eastAsia="zh-CN"/>
        </w:rPr>
        <w:t>查</w:t>
      </w:r>
      <w:r>
        <w:rPr>
          <w:rFonts w:hint="eastAsia" w:ascii="方正黑体_GBK" w:hAnsi="方正黑体_GBK" w:eastAsia="方正黑体_GBK" w:cs="方正黑体_GBK"/>
          <w:b/>
          <w:sz w:val="32"/>
          <w:szCs w:val="32"/>
          <w:highlight w:val="none"/>
        </w:rPr>
        <w:t>工作满意度调查</w:t>
      </w:r>
      <w:bookmarkEnd w:id="179"/>
      <w:bookmarkEnd w:id="180"/>
      <w:bookmarkEnd w:id="181"/>
    </w:p>
    <w:p>
      <w:pPr>
        <w:pageBreakBefore w:val="0"/>
        <w:kinsoku/>
        <w:wordWrap/>
        <w:bidi w:val="0"/>
        <w:spacing w:line="570" w:lineRule="exact"/>
        <w:jc w:val="both"/>
        <w:rPr>
          <w:b/>
          <w:sz w:val="32"/>
          <w:highlight w:val="none"/>
        </w:rPr>
      </w:pPr>
      <w:r>
        <w:rPr>
          <w:b w:val="0"/>
          <w:color w:val="000000"/>
          <w:sz w:val="24"/>
          <w:highlight w:val="none"/>
        </w:rPr>
        <w:t>第1题第三次全国土壤普查工作的普查对象?</w:t>
      </w:r>
      <w:r>
        <w:rPr>
          <w:b w:val="0"/>
          <w:color w:val="0066FF"/>
          <w:sz w:val="24"/>
          <w:highlight w:val="none"/>
        </w:rPr>
        <w:t>[单选题]</w:t>
      </w:r>
    </w:p>
    <w:p>
      <w:pPr>
        <w:pageBreakBefore w:val="0"/>
        <w:kinsoku/>
        <w:wordWrap/>
        <w:bidi w:val="0"/>
        <w:spacing w:line="570" w:lineRule="exact"/>
        <w:jc w:val="both"/>
        <w:rPr>
          <w:b w:val="0"/>
          <w:color w:val="0066FF"/>
          <w:sz w:val="24"/>
          <w:highlight w:val="none"/>
        </w:rPr>
      </w:pPr>
    </w:p>
    <w:tbl>
      <w:tblPr>
        <w:tblStyle w:val="21"/>
        <w:tblW w:w="9060"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14"/>
        <w:gridCol w:w="1263"/>
        <w:gridCol w:w="3283"/>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PrEx>
        <w:trPr>
          <w:trHeight w:val="500" w:hRule="atLeast"/>
        </w:trPr>
        <w:tc>
          <w:tcPr>
            <w:tcW w:w="4514" w:type="dxa"/>
            <w:shd w:val="clear" w:color="auto" w:fill="F5F5F5"/>
            <w:vAlign w:val="center"/>
          </w:tcPr>
          <w:p>
            <w:pPr>
              <w:pageBreakBefore w:val="0"/>
              <w:kinsoku/>
              <w:wordWrap/>
              <w:bidi w:val="0"/>
              <w:spacing w:line="570" w:lineRule="exact"/>
              <w:jc w:val="both"/>
              <w:rPr>
                <w:highlight w:val="none"/>
              </w:rPr>
            </w:pPr>
            <w:r>
              <w:rPr>
                <w:highlight w:val="none"/>
              </w:rPr>
              <w:t>选项</w:t>
            </w:r>
          </w:p>
        </w:tc>
        <w:tc>
          <w:tcPr>
            <w:tcW w:w="1263" w:type="dxa"/>
            <w:shd w:val="clear" w:color="auto" w:fill="F5F5F5"/>
            <w:vAlign w:val="center"/>
          </w:tcPr>
          <w:p>
            <w:pPr>
              <w:pageBreakBefore w:val="0"/>
              <w:kinsoku/>
              <w:wordWrap/>
              <w:bidi w:val="0"/>
              <w:spacing w:line="570" w:lineRule="exact"/>
              <w:jc w:val="both"/>
              <w:rPr>
                <w:highlight w:val="none"/>
              </w:rPr>
            </w:pPr>
            <w:r>
              <w:rPr>
                <w:highlight w:val="none"/>
              </w:rPr>
              <w:t>小计</w:t>
            </w:r>
          </w:p>
        </w:tc>
        <w:tc>
          <w:tcPr>
            <w:tcW w:w="3283" w:type="dxa"/>
            <w:shd w:val="clear" w:color="auto" w:fill="F5F5F5"/>
            <w:vAlign w:val="center"/>
          </w:tcPr>
          <w:p>
            <w:pPr>
              <w:pageBreakBefore w:val="0"/>
              <w:kinsoku/>
              <w:wordWrap/>
              <w:bidi w:val="0"/>
              <w:spacing w:line="570" w:lineRule="exact"/>
              <w:jc w:val="both"/>
              <w:rPr>
                <w:highlight w:val="none"/>
              </w:rPr>
            </w:pPr>
            <w:r>
              <w:rPr>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PrEx>
        <w:trPr>
          <w:trHeight w:val="500" w:hRule="atLeast"/>
        </w:trPr>
        <w:tc>
          <w:tcPr>
            <w:tcW w:w="4514" w:type="dxa"/>
            <w:shd w:val="clear" w:color="auto" w:fill="FFFFFF"/>
            <w:vAlign w:val="center"/>
          </w:tcPr>
          <w:p>
            <w:pPr>
              <w:pageBreakBefore w:val="0"/>
              <w:kinsoku/>
              <w:wordWrap/>
              <w:bidi w:val="0"/>
              <w:spacing w:line="570" w:lineRule="exact"/>
              <w:jc w:val="both"/>
              <w:rPr>
                <w:highlight w:val="none"/>
              </w:rPr>
            </w:pPr>
            <w:r>
              <w:rPr>
                <w:highlight w:val="none"/>
              </w:rPr>
              <w:t>全国耕地、园地、林地、草地等农用地和部分未利用地的土壤</w:t>
            </w:r>
          </w:p>
        </w:tc>
        <w:tc>
          <w:tcPr>
            <w:tcW w:w="1263" w:type="dxa"/>
            <w:shd w:val="clear" w:color="auto" w:fill="FFFFFF"/>
            <w:vAlign w:val="center"/>
          </w:tcPr>
          <w:p>
            <w:pPr>
              <w:pageBreakBefore w:val="0"/>
              <w:kinsoku/>
              <w:wordWrap/>
              <w:bidi w:val="0"/>
              <w:spacing w:line="570" w:lineRule="exact"/>
              <w:jc w:val="both"/>
              <w:rPr>
                <w:highlight w:val="none"/>
              </w:rPr>
            </w:pPr>
            <w:r>
              <w:rPr>
                <w:highlight w:val="none"/>
              </w:rPr>
              <w:t>213</w:t>
            </w:r>
          </w:p>
        </w:tc>
        <w:tc>
          <w:tcPr>
            <w:tcW w:w="3283" w:type="dxa"/>
            <w:shd w:val="clear" w:color="auto" w:fill="FFFFFF"/>
            <w:vAlign w:val="center"/>
          </w:tcPr>
          <w:p>
            <w:pPr>
              <w:pageBreakBefore w:val="0"/>
              <w:kinsoku/>
              <w:wordWrap/>
              <w:bidi w:val="0"/>
              <w:spacing w:line="570" w:lineRule="exact"/>
              <w:jc w:val="both"/>
              <w:rPr>
                <w:highlight w:val="none"/>
              </w:rPr>
            </w:pPr>
            <w:r>
              <w:rPr>
                <w:highlight w:val="none"/>
              </w:rPr>
              <w:drawing>
                <wp:inline distT="0" distB="0" distL="114300" distR="114300">
                  <wp:extent cx="1285875" cy="114300"/>
                  <wp:effectExtent l="0" t="0" r="9525"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8"/>
                          <a:stretch>
                            <a:fillRect/>
                          </a:stretch>
                        </pic:blipFill>
                        <pic:spPr>
                          <a:xfrm>
                            <a:off x="0" y="0"/>
                            <a:ext cx="1285875" cy="114300"/>
                          </a:xfrm>
                          <a:prstGeom prst="rect">
                            <a:avLst/>
                          </a:prstGeom>
                          <a:noFill/>
                          <a:ln>
                            <a:noFill/>
                          </a:ln>
                        </pic:spPr>
                      </pic:pic>
                    </a:graphicData>
                  </a:graphic>
                </wp:inline>
              </w:drawing>
            </w:r>
            <w:r>
              <w:rPr>
                <w:highlight w:val="none"/>
              </w:rPr>
              <w:drawing>
                <wp:inline distT="0" distB="0" distL="114300" distR="114300">
                  <wp:extent cx="66675" cy="114300"/>
                  <wp:effectExtent l="0" t="0" r="9525"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66675" cy="114300"/>
                          </a:xfrm>
                          <a:prstGeom prst="rect">
                            <a:avLst/>
                          </a:prstGeom>
                          <a:noFill/>
                          <a:ln>
                            <a:noFill/>
                          </a:ln>
                        </pic:spPr>
                      </pic:pic>
                    </a:graphicData>
                  </a:graphic>
                </wp:inline>
              </w:drawing>
            </w:r>
            <w:r>
              <w:rPr>
                <w:highlight w:val="none"/>
              </w:rPr>
              <w:t>95.52%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PrEx>
        <w:trPr>
          <w:trHeight w:val="500" w:hRule="atLeast"/>
        </w:trPr>
        <w:tc>
          <w:tcPr>
            <w:tcW w:w="4514" w:type="dxa"/>
            <w:shd w:val="clear" w:color="auto" w:fill="FAFAFA"/>
            <w:vAlign w:val="center"/>
          </w:tcPr>
          <w:p>
            <w:pPr>
              <w:pageBreakBefore w:val="0"/>
              <w:kinsoku/>
              <w:wordWrap/>
              <w:bidi w:val="0"/>
              <w:spacing w:line="570" w:lineRule="exact"/>
              <w:jc w:val="both"/>
              <w:rPr>
                <w:highlight w:val="none"/>
              </w:rPr>
            </w:pPr>
            <w:r>
              <w:rPr>
                <w:highlight w:val="none"/>
              </w:rPr>
              <w:t>耕地</w:t>
            </w:r>
          </w:p>
        </w:tc>
        <w:tc>
          <w:tcPr>
            <w:tcW w:w="1263" w:type="dxa"/>
            <w:shd w:val="clear" w:color="auto" w:fill="FAFAFA"/>
            <w:vAlign w:val="center"/>
          </w:tcPr>
          <w:p>
            <w:pPr>
              <w:pageBreakBefore w:val="0"/>
              <w:kinsoku/>
              <w:wordWrap/>
              <w:bidi w:val="0"/>
              <w:spacing w:line="570" w:lineRule="exact"/>
              <w:jc w:val="both"/>
              <w:rPr>
                <w:highlight w:val="none"/>
              </w:rPr>
            </w:pPr>
            <w:r>
              <w:rPr>
                <w:highlight w:val="none"/>
              </w:rPr>
              <w:t>10</w:t>
            </w:r>
          </w:p>
        </w:tc>
        <w:tc>
          <w:tcPr>
            <w:tcW w:w="3283" w:type="dxa"/>
            <w:shd w:val="clear" w:color="auto" w:fill="FAFAFA"/>
            <w:vAlign w:val="center"/>
          </w:tcPr>
          <w:p>
            <w:pPr>
              <w:pageBreakBefore w:val="0"/>
              <w:kinsoku/>
              <w:wordWrap/>
              <w:bidi w:val="0"/>
              <w:spacing w:line="570" w:lineRule="exact"/>
              <w:jc w:val="both"/>
              <w:rPr>
                <w:highlight w:val="none"/>
              </w:rPr>
            </w:pPr>
            <w:r>
              <w:rPr>
                <w:highlight w:val="none"/>
              </w:rPr>
              <w:drawing>
                <wp:inline distT="0" distB="0" distL="114300" distR="114300">
                  <wp:extent cx="57150" cy="11430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0"/>
                          <a:stretch>
                            <a:fillRect/>
                          </a:stretch>
                        </pic:blipFill>
                        <pic:spPr>
                          <a:xfrm>
                            <a:off x="0" y="0"/>
                            <a:ext cx="57150" cy="114300"/>
                          </a:xfrm>
                          <a:prstGeom prst="rect">
                            <a:avLst/>
                          </a:prstGeom>
                          <a:noFill/>
                          <a:ln>
                            <a:noFill/>
                          </a:ln>
                        </pic:spPr>
                      </pic:pic>
                    </a:graphicData>
                  </a:graphic>
                </wp:inline>
              </w:drawing>
            </w:r>
            <w:r>
              <w:rPr>
                <w:highlight w:val="none"/>
              </w:rPr>
              <w:drawing>
                <wp:inline distT="0" distB="0" distL="114300" distR="114300">
                  <wp:extent cx="1295400" cy="114300"/>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1"/>
                          <a:stretch>
                            <a:fillRect/>
                          </a:stretch>
                        </pic:blipFill>
                        <pic:spPr>
                          <a:xfrm>
                            <a:off x="0" y="0"/>
                            <a:ext cx="1295400" cy="114300"/>
                          </a:xfrm>
                          <a:prstGeom prst="rect">
                            <a:avLst/>
                          </a:prstGeom>
                          <a:noFill/>
                          <a:ln>
                            <a:noFill/>
                          </a:ln>
                        </pic:spPr>
                      </pic:pic>
                    </a:graphicData>
                  </a:graphic>
                </wp:inline>
              </w:drawing>
            </w:r>
            <w:r>
              <w:rPr>
                <w:highlight w:val="none"/>
              </w:rPr>
              <w:t>4.48%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14" w:type="dxa"/>
            <w:shd w:val="clear" w:color="auto" w:fill="F5F5F5"/>
            <w:vAlign w:val="center"/>
          </w:tcPr>
          <w:p>
            <w:pPr>
              <w:pageBreakBefore w:val="0"/>
              <w:kinsoku/>
              <w:wordWrap/>
              <w:bidi w:val="0"/>
              <w:spacing w:line="570" w:lineRule="exact"/>
              <w:jc w:val="both"/>
              <w:rPr>
                <w:highlight w:val="none"/>
              </w:rPr>
            </w:pPr>
            <w:r>
              <w:rPr>
                <w:highlight w:val="none"/>
              </w:rPr>
              <w:t>本题有效填写人次</w:t>
            </w:r>
          </w:p>
        </w:tc>
        <w:tc>
          <w:tcPr>
            <w:tcW w:w="1263" w:type="dxa"/>
            <w:shd w:val="clear" w:color="auto" w:fill="F5F5F5"/>
            <w:vAlign w:val="center"/>
          </w:tcPr>
          <w:p>
            <w:pPr>
              <w:pageBreakBefore w:val="0"/>
              <w:kinsoku/>
              <w:wordWrap/>
              <w:bidi w:val="0"/>
              <w:spacing w:line="570" w:lineRule="exact"/>
              <w:jc w:val="both"/>
              <w:rPr>
                <w:highlight w:val="none"/>
              </w:rPr>
            </w:pPr>
            <w:r>
              <w:rPr>
                <w:highlight w:val="none"/>
              </w:rPr>
              <w:t>223</w:t>
            </w:r>
          </w:p>
        </w:tc>
        <w:tc>
          <w:tcPr>
            <w:tcW w:w="3283" w:type="dxa"/>
            <w:shd w:val="clear" w:color="auto" w:fill="F5F5F5"/>
            <w:vAlign w:val="center"/>
          </w:tcPr>
          <w:p>
            <w:pPr>
              <w:pageBreakBefore w:val="0"/>
              <w:kinsoku/>
              <w:wordWrap/>
              <w:bidi w:val="0"/>
              <w:spacing w:line="570" w:lineRule="exact"/>
              <w:jc w:val="both"/>
              <w:rPr>
                <w:highlight w:val="none"/>
              </w:rPr>
            </w:pPr>
          </w:p>
        </w:tc>
      </w:tr>
    </w:tbl>
    <w:p>
      <w:pPr>
        <w:pageBreakBefore w:val="0"/>
        <w:kinsoku/>
        <w:wordWrap/>
        <w:bidi w:val="0"/>
        <w:spacing w:line="570" w:lineRule="exact"/>
        <w:jc w:val="both"/>
        <w:rPr>
          <w:highlight w:val="none"/>
        </w:rPr>
      </w:pPr>
      <w:r>
        <w:rPr>
          <w:b w:val="0"/>
          <w:color w:val="000000"/>
          <w:sz w:val="24"/>
          <w:highlight w:val="none"/>
        </w:rPr>
        <w:t>第2题第三次全国土壤普查工作的普查内容?</w:t>
      </w:r>
      <w:r>
        <w:rPr>
          <w:b w:val="0"/>
          <w:color w:val="0066FF"/>
          <w:sz w:val="24"/>
          <w:highlight w:val="none"/>
        </w:rPr>
        <w:t>[单选题]</w:t>
      </w:r>
    </w:p>
    <w:tbl>
      <w:tblPr>
        <w:tblStyle w:val="21"/>
        <w:tblW w:w="9060"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254"/>
        <w:gridCol w:w="1296"/>
        <w:gridCol w:w="3510"/>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254" w:type="dxa"/>
            <w:shd w:val="clear" w:color="auto" w:fill="F5F5F5"/>
            <w:vAlign w:val="center"/>
          </w:tcPr>
          <w:p>
            <w:pPr>
              <w:pageBreakBefore w:val="0"/>
              <w:kinsoku/>
              <w:wordWrap/>
              <w:bidi w:val="0"/>
              <w:spacing w:line="570" w:lineRule="exact"/>
              <w:jc w:val="both"/>
              <w:rPr>
                <w:highlight w:val="none"/>
              </w:rPr>
            </w:pPr>
            <w:r>
              <w:rPr>
                <w:highlight w:val="none"/>
              </w:rPr>
              <w:t>选项</w:t>
            </w:r>
          </w:p>
        </w:tc>
        <w:tc>
          <w:tcPr>
            <w:tcW w:w="1296" w:type="dxa"/>
            <w:shd w:val="clear" w:color="auto" w:fill="F5F5F5"/>
            <w:vAlign w:val="center"/>
          </w:tcPr>
          <w:p>
            <w:pPr>
              <w:pageBreakBefore w:val="0"/>
              <w:kinsoku/>
              <w:wordWrap/>
              <w:bidi w:val="0"/>
              <w:spacing w:line="570" w:lineRule="exact"/>
              <w:jc w:val="both"/>
              <w:rPr>
                <w:highlight w:val="none"/>
              </w:rPr>
            </w:pPr>
            <w:r>
              <w:rPr>
                <w:highlight w:val="none"/>
              </w:rPr>
              <w:t>小计</w:t>
            </w:r>
          </w:p>
        </w:tc>
        <w:tc>
          <w:tcPr>
            <w:tcW w:w="3510" w:type="dxa"/>
            <w:shd w:val="clear" w:color="auto" w:fill="F5F5F5"/>
            <w:vAlign w:val="center"/>
          </w:tcPr>
          <w:p>
            <w:pPr>
              <w:pageBreakBefore w:val="0"/>
              <w:kinsoku/>
              <w:wordWrap/>
              <w:bidi w:val="0"/>
              <w:spacing w:line="570" w:lineRule="exact"/>
              <w:jc w:val="both"/>
              <w:rPr>
                <w:highlight w:val="none"/>
              </w:rPr>
            </w:pPr>
            <w:r>
              <w:rPr>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254" w:type="dxa"/>
            <w:shd w:val="clear" w:color="auto" w:fill="FFFFFF"/>
            <w:vAlign w:val="center"/>
          </w:tcPr>
          <w:p>
            <w:pPr>
              <w:pageBreakBefore w:val="0"/>
              <w:kinsoku/>
              <w:wordWrap/>
              <w:bidi w:val="0"/>
              <w:spacing w:line="570" w:lineRule="exact"/>
              <w:jc w:val="both"/>
              <w:rPr>
                <w:highlight w:val="none"/>
              </w:rPr>
            </w:pPr>
            <w:r>
              <w:rPr>
                <w:highlight w:val="none"/>
              </w:rPr>
              <w:t>土壤性状、类型、立地条件、利用状况</w:t>
            </w:r>
          </w:p>
        </w:tc>
        <w:tc>
          <w:tcPr>
            <w:tcW w:w="1296" w:type="dxa"/>
            <w:shd w:val="clear" w:color="auto" w:fill="FFFFFF"/>
            <w:vAlign w:val="center"/>
          </w:tcPr>
          <w:p>
            <w:pPr>
              <w:pageBreakBefore w:val="0"/>
              <w:kinsoku/>
              <w:wordWrap/>
              <w:bidi w:val="0"/>
              <w:spacing w:line="570" w:lineRule="exact"/>
              <w:jc w:val="both"/>
              <w:rPr>
                <w:highlight w:val="none"/>
              </w:rPr>
            </w:pPr>
            <w:r>
              <w:rPr>
                <w:highlight w:val="none"/>
              </w:rPr>
              <w:t>209</w:t>
            </w:r>
          </w:p>
        </w:tc>
        <w:tc>
          <w:tcPr>
            <w:tcW w:w="3510" w:type="dxa"/>
            <w:shd w:val="clear" w:color="auto" w:fill="FFFFFF"/>
            <w:vAlign w:val="center"/>
          </w:tcPr>
          <w:p>
            <w:pPr>
              <w:pageBreakBefore w:val="0"/>
              <w:kinsoku/>
              <w:wordWrap/>
              <w:bidi w:val="0"/>
              <w:spacing w:line="570" w:lineRule="exact"/>
              <w:jc w:val="both"/>
              <w:rPr>
                <w:highlight w:val="none"/>
              </w:rPr>
            </w:pPr>
            <w:r>
              <w:rPr>
                <w:highlight w:val="none"/>
              </w:rPr>
              <w:drawing>
                <wp:inline distT="0" distB="0" distL="114300" distR="114300">
                  <wp:extent cx="1266825" cy="114300"/>
                  <wp:effectExtent l="0" t="0" r="9525"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2"/>
                          <a:stretch>
                            <a:fillRect/>
                          </a:stretch>
                        </pic:blipFill>
                        <pic:spPr>
                          <a:xfrm>
                            <a:off x="0" y="0"/>
                            <a:ext cx="1266825" cy="114300"/>
                          </a:xfrm>
                          <a:prstGeom prst="rect">
                            <a:avLst/>
                          </a:prstGeom>
                          <a:noFill/>
                          <a:ln>
                            <a:noFill/>
                          </a:ln>
                        </pic:spPr>
                      </pic:pic>
                    </a:graphicData>
                  </a:graphic>
                </wp:inline>
              </w:drawing>
            </w:r>
            <w:r>
              <w:rPr>
                <w:highlight w:val="none"/>
              </w:rPr>
              <w:drawing>
                <wp:inline distT="0" distB="0" distL="114300" distR="114300">
                  <wp:extent cx="85725" cy="114300"/>
                  <wp:effectExtent l="0" t="0" r="9525"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3"/>
                          <a:stretch>
                            <a:fillRect/>
                          </a:stretch>
                        </pic:blipFill>
                        <pic:spPr>
                          <a:xfrm>
                            <a:off x="0" y="0"/>
                            <a:ext cx="85725" cy="114300"/>
                          </a:xfrm>
                          <a:prstGeom prst="rect">
                            <a:avLst/>
                          </a:prstGeom>
                          <a:noFill/>
                          <a:ln>
                            <a:noFill/>
                          </a:ln>
                        </pic:spPr>
                      </pic:pic>
                    </a:graphicData>
                  </a:graphic>
                </wp:inline>
              </w:drawing>
            </w:r>
            <w:r>
              <w:rPr>
                <w:highlight w:val="none"/>
              </w:rPr>
              <w:t>93.72%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254" w:type="dxa"/>
            <w:shd w:val="clear" w:color="auto" w:fill="FAFAFA"/>
            <w:vAlign w:val="center"/>
          </w:tcPr>
          <w:p>
            <w:pPr>
              <w:pageBreakBefore w:val="0"/>
              <w:kinsoku/>
              <w:wordWrap/>
              <w:bidi w:val="0"/>
              <w:spacing w:line="570" w:lineRule="exact"/>
              <w:jc w:val="both"/>
              <w:rPr>
                <w:highlight w:val="none"/>
              </w:rPr>
            </w:pPr>
            <w:r>
              <w:rPr>
                <w:highlight w:val="none"/>
              </w:rPr>
              <w:t>土壤类型</w:t>
            </w:r>
          </w:p>
        </w:tc>
        <w:tc>
          <w:tcPr>
            <w:tcW w:w="1296" w:type="dxa"/>
            <w:shd w:val="clear" w:color="auto" w:fill="FAFAFA"/>
            <w:vAlign w:val="center"/>
          </w:tcPr>
          <w:p>
            <w:pPr>
              <w:pageBreakBefore w:val="0"/>
              <w:kinsoku/>
              <w:wordWrap/>
              <w:bidi w:val="0"/>
              <w:spacing w:line="570" w:lineRule="exact"/>
              <w:jc w:val="both"/>
              <w:rPr>
                <w:highlight w:val="none"/>
              </w:rPr>
            </w:pPr>
            <w:r>
              <w:rPr>
                <w:highlight w:val="none"/>
              </w:rPr>
              <w:t>14</w:t>
            </w:r>
          </w:p>
        </w:tc>
        <w:tc>
          <w:tcPr>
            <w:tcW w:w="3510" w:type="dxa"/>
            <w:shd w:val="clear" w:color="auto" w:fill="FAFAFA"/>
            <w:vAlign w:val="center"/>
          </w:tcPr>
          <w:p>
            <w:pPr>
              <w:pageBreakBefore w:val="0"/>
              <w:kinsoku/>
              <w:wordWrap/>
              <w:bidi w:val="0"/>
              <w:spacing w:line="570" w:lineRule="exact"/>
              <w:jc w:val="both"/>
              <w:rPr>
                <w:highlight w:val="none"/>
              </w:rPr>
            </w:pPr>
            <w:r>
              <w:rPr>
                <w:highlight w:val="none"/>
              </w:rPr>
              <w:drawing>
                <wp:inline distT="0" distB="0" distL="114300" distR="114300">
                  <wp:extent cx="76200" cy="114300"/>
                  <wp:effectExtent l="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4"/>
                          <a:stretch>
                            <a:fillRect/>
                          </a:stretch>
                        </pic:blipFill>
                        <pic:spPr>
                          <a:xfrm>
                            <a:off x="0" y="0"/>
                            <a:ext cx="76200" cy="114300"/>
                          </a:xfrm>
                          <a:prstGeom prst="rect">
                            <a:avLst/>
                          </a:prstGeom>
                          <a:noFill/>
                          <a:ln>
                            <a:noFill/>
                          </a:ln>
                        </pic:spPr>
                      </pic:pic>
                    </a:graphicData>
                  </a:graphic>
                </wp:inline>
              </w:drawing>
            </w:r>
            <w:r>
              <w:rPr>
                <w:highlight w:val="none"/>
              </w:rPr>
              <w:drawing>
                <wp:inline distT="0" distB="0" distL="114300" distR="114300">
                  <wp:extent cx="1276350" cy="114300"/>
                  <wp:effectExtent l="0" t="0" r="0" b="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5"/>
                          <a:stretch>
                            <a:fillRect/>
                          </a:stretch>
                        </pic:blipFill>
                        <pic:spPr>
                          <a:xfrm>
                            <a:off x="0" y="0"/>
                            <a:ext cx="1276350" cy="114300"/>
                          </a:xfrm>
                          <a:prstGeom prst="rect">
                            <a:avLst/>
                          </a:prstGeom>
                          <a:noFill/>
                          <a:ln>
                            <a:noFill/>
                          </a:ln>
                        </pic:spPr>
                      </pic:pic>
                    </a:graphicData>
                  </a:graphic>
                </wp:inline>
              </w:drawing>
            </w:r>
            <w:r>
              <w:rPr>
                <w:highlight w:val="none"/>
              </w:rPr>
              <w:t>6.28%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254" w:type="dxa"/>
            <w:shd w:val="clear" w:color="auto" w:fill="F5F5F5"/>
            <w:vAlign w:val="center"/>
          </w:tcPr>
          <w:p>
            <w:pPr>
              <w:pageBreakBefore w:val="0"/>
              <w:kinsoku/>
              <w:wordWrap/>
              <w:bidi w:val="0"/>
              <w:spacing w:line="570" w:lineRule="exact"/>
              <w:jc w:val="both"/>
              <w:rPr>
                <w:highlight w:val="none"/>
              </w:rPr>
            </w:pPr>
            <w:r>
              <w:rPr>
                <w:highlight w:val="none"/>
              </w:rPr>
              <w:t>本题有效填写人次</w:t>
            </w:r>
          </w:p>
        </w:tc>
        <w:tc>
          <w:tcPr>
            <w:tcW w:w="1296" w:type="dxa"/>
            <w:shd w:val="clear" w:color="auto" w:fill="F5F5F5"/>
            <w:vAlign w:val="center"/>
          </w:tcPr>
          <w:p>
            <w:pPr>
              <w:pageBreakBefore w:val="0"/>
              <w:kinsoku/>
              <w:wordWrap/>
              <w:bidi w:val="0"/>
              <w:spacing w:line="570" w:lineRule="exact"/>
              <w:jc w:val="both"/>
              <w:rPr>
                <w:highlight w:val="none"/>
              </w:rPr>
            </w:pPr>
            <w:r>
              <w:rPr>
                <w:highlight w:val="none"/>
              </w:rPr>
              <w:t>223</w:t>
            </w:r>
          </w:p>
        </w:tc>
        <w:tc>
          <w:tcPr>
            <w:tcW w:w="3510" w:type="dxa"/>
            <w:shd w:val="clear" w:color="auto" w:fill="F5F5F5"/>
            <w:vAlign w:val="center"/>
          </w:tcPr>
          <w:p>
            <w:pPr>
              <w:pageBreakBefore w:val="0"/>
              <w:kinsoku/>
              <w:wordWrap/>
              <w:bidi w:val="0"/>
              <w:spacing w:line="570" w:lineRule="exact"/>
              <w:jc w:val="both"/>
              <w:rPr>
                <w:highlight w:val="none"/>
              </w:rPr>
            </w:pPr>
          </w:p>
        </w:tc>
      </w:tr>
    </w:tbl>
    <w:p>
      <w:pPr>
        <w:pageBreakBefore w:val="0"/>
        <w:kinsoku/>
        <w:wordWrap/>
        <w:bidi w:val="0"/>
        <w:spacing w:line="570" w:lineRule="exact"/>
        <w:jc w:val="both"/>
        <w:rPr>
          <w:highlight w:val="none"/>
        </w:rPr>
      </w:pPr>
      <w:r>
        <w:rPr>
          <w:b w:val="0"/>
          <w:color w:val="000000"/>
          <w:sz w:val="24"/>
          <w:highlight w:val="none"/>
        </w:rPr>
        <w:t>第3题您觉得有必要开展第三次全国土壤普查吗？</w:t>
      </w:r>
      <w:r>
        <w:rPr>
          <w:b w:val="0"/>
          <w:color w:val="0066FF"/>
          <w:sz w:val="24"/>
          <w:highlight w:val="none"/>
        </w:rPr>
        <w:t>[单选题]</w:t>
      </w:r>
    </w:p>
    <w:tbl>
      <w:tblPr>
        <w:tblStyle w:val="21"/>
        <w:tblW w:w="9060"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3364"/>
        <w:gridCol w:w="1490"/>
        <w:gridCol w:w="4206"/>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64" w:type="dxa"/>
            <w:shd w:val="clear" w:color="auto" w:fill="F5F5F5"/>
            <w:vAlign w:val="center"/>
          </w:tcPr>
          <w:p>
            <w:pPr>
              <w:pageBreakBefore w:val="0"/>
              <w:kinsoku/>
              <w:wordWrap/>
              <w:bidi w:val="0"/>
              <w:spacing w:line="570" w:lineRule="exact"/>
              <w:jc w:val="both"/>
              <w:rPr>
                <w:highlight w:val="none"/>
              </w:rPr>
            </w:pPr>
            <w:r>
              <w:rPr>
                <w:highlight w:val="none"/>
              </w:rPr>
              <w:t>选项</w:t>
            </w:r>
          </w:p>
        </w:tc>
        <w:tc>
          <w:tcPr>
            <w:tcW w:w="1490" w:type="dxa"/>
            <w:shd w:val="clear" w:color="auto" w:fill="F5F5F5"/>
            <w:vAlign w:val="center"/>
          </w:tcPr>
          <w:p>
            <w:pPr>
              <w:pageBreakBefore w:val="0"/>
              <w:kinsoku/>
              <w:wordWrap/>
              <w:bidi w:val="0"/>
              <w:spacing w:line="570" w:lineRule="exact"/>
              <w:jc w:val="both"/>
              <w:rPr>
                <w:highlight w:val="none"/>
              </w:rPr>
            </w:pPr>
            <w:r>
              <w:rPr>
                <w:highlight w:val="none"/>
              </w:rPr>
              <w:t>小计</w:t>
            </w:r>
          </w:p>
        </w:tc>
        <w:tc>
          <w:tcPr>
            <w:tcW w:w="4206" w:type="dxa"/>
            <w:shd w:val="clear" w:color="auto" w:fill="F5F5F5"/>
            <w:vAlign w:val="center"/>
          </w:tcPr>
          <w:p>
            <w:pPr>
              <w:pageBreakBefore w:val="0"/>
              <w:kinsoku/>
              <w:wordWrap/>
              <w:bidi w:val="0"/>
              <w:spacing w:line="570" w:lineRule="exact"/>
              <w:jc w:val="both"/>
              <w:rPr>
                <w:highlight w:val="none"/>
              </w:rPr>
            </w:pPr>
            <w:r>
              <w:rPr>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64" w:type="dxa"/>
            <w:shd w:val="clear" w:color="auto" w:fill="FFFFFF"/>
            <w:vAlign w:val="center"/>
          </w:tcPr>
          <w:p>
            <w:pPr>
              <w:pageBreakBefore w:val="0"/>
              <w:kinsoku/>
              <w:wordWrap/>
              <w:bidi w:val="0"/>
              <w:spacing w:line="570" w:lineRule="exact"/>
              <w:jc w:val="both"/>
              <w:rPr>
                <w:highlight w:val="none"/>
              </w:rPr>
            </w:pPr>
            <w:r>
              <w:rPr>
                <w:highlight w:val="none"/>
              </w:rPr>
              <w:t>必要</w:t>
            </w:r>
          </w:p>
        </w:tc>
        <w:tc>
          <w:tcPr>
            <w:tcW w:w="1490" w:type="dxa"/>
            <w:shd w:val="clear" w:color="auto" w:fill="FFFFFF"/>
            <w:vAlign w:val="center"/>
          </w:tcPr>
          <w:p>
            <w:pPr>
              <w:pageBreakBefore w:val="0"/>
              <w:kinsoku/>
              <w:wordWrap/>
              <w:bidi w:val="0"/>
              <w:spacing w:line="570" w:lineRule="exact"/>
              <w:jc w:val="both"/>
              <w:rPr>
                <w:highlight w:val="none"/>
              </w:rPr>
            </w:pPr>
            <w:r>
              <w:rPr>
                <w:highlight w:val="none"/>
              </w:rPr>
              <w:t>211</w:t>
            </w:r>
          </w:p>
        </w:tc>
        <w:tc>
          <w:tcPr>
            <w:tcW w:w="4206" w:type="dxa"/>
            <w:shd w:val="clear" w:color="auto" w:fill="FFFFFF"/>
            <w:vAlign w:val="center"/>
          </w:tcPr>
          <w:p>
            <w:pPr>
              <w:pageBreakBefore w:val="0"/>
              <w:kinsoku/>
              <w:wordWrap/>
              <w:bidi w:val="0"/>
              <w:spacing w:line="570" w:lineRule="exact"/>
              <w:jc w:val="both"/>
              <w:rPr>
                <w:highlight w:val="none"/>
              </w:rPr>
            </w:pPr>
            <w:r>
              <w:rPr>
                <w:highlight w:val="none"/>
              </w:rPr>
              <w:drawing>
                <wp:inline distT="0" distB="0" distL="114300" distR="114300">
                  <wp:extent cx="1276350" cy="114300"/>
                  <wp:effectExtent l="0" t="0" r="0"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6"/>
                          <a:stretch>
                            <a:fillRect/>
                          </a:stretch>
                        </pic:blipFill>
                        <pic:spPr>
                          <a:xfrm>
                            <a:off x="0" y="0"/>
                            <a:ext cx="1276350" cy="114300"/>
                          </a:xfrm>
                          <a:prstGeom prst="rect">
                            <a:avLst/>
                          </a:prstGeom>
                          <a:noFill/>
                          <a:ln>
                            <a:noFill/>
                          </a:ln>
                        </pic:spPr>
                      </pic:pic>
                    </a:graphicData>
                  </a:graphic>
                </wp:inline>
              </w:drawing>
            </w:r>
            <w:r>
              <w:rPr>
                <w:highlight w:val="none"/>
              </w:rPr>
              <w:drawing>
                <wp:inline distT="0" distB="0" distL="114300" distR="114300">
                  <wp:extent cx="76200" cy="114300"/>
                  <wp:effectExtent l="0" t="0" r="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7"/>
                          <a:stretch>
                            <a:fillRect/>
                          </a:stretch>
                        </pic:blipFill>
                        <pic:spPr>
                          <a:xfrm>
                            <a:off x="0" y="0"/>
                            <a:ext cx="76200" cy="114300"/>
                          </a:xfrm>
                          <a:prstGeom prst="rect">
                            <a:avLst/>
                          </a:prstGeom>
                          <a:noFill/>
                          <a:ln>
                            <a:noFill/>
                          </a:ln>
                        </pic:spPr>
                      </pic:pic>
                    </a:graphicData>
                  </a:graphic>
                </wp:inline>
              </w:drawing>
            </w:r>
            <w:r>
              <w:rPr>
                <w:highlight w:val="none"/>
              </w:rPr>
              <w:t>94.62%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64" w:type="dxa"/>
            <w:shd w:val="clear" w:color="auto" w:fill="FAFAFA"/>
            <w:vAlign w:val="center"/>
          </w:tcPr>
          <w:p>
            <w:pPr>
              <w:pageBreakBefore w:val="0"/>
              <w:kinsoku/>
              <w:wordWrap/>
              <w:bidi w:val="0"/>
              <w:spacing w:line="570" w:lineRule="exact"/>
              <w:jc w:val="both"/>
              <w:rPr>
                <w:highlight w:val="none"/>
              </w:rPr>
            </w:pPr>
            <w:r>
              <w:rPr>
                <w:highlight w:val="none"/>
              </w:rPr>
              <w:t>不必要</w:t>
            </w:r>
          </w:p>
        </w:tc>
        <w:tc>
          <w:tcPr>
            <w:tcW w:w="1490" w:type="dxa"/>
            <w:shd w:val="clear" w:color="auto" w:fill="FAFAFA"/>
            <w:vAlign w:val="center"/>
          </w:tcPr>
          <w:p>
            <w:pPr>
              <w:pageBreakBefore w:val="0"/>
              <w:kinsoku/>
              <w:wordWrap/>
              <w:bidi w:val="0"/>
              <w:spacing w:line="570" w:lineRule="exact"/>
              <w:jc w:val="both"/>
              <w:rPr>
                <w:highlight w:val="none"/>
              </w:rPr>
            </w:pPr>
            <w:r>
              <w:rPr>
                <w:highlight w:val="none"/>
              </w:rPr>
              <w:t>12</w:t>
            </w:r>
          </w:p>
        </w:tc>
        <w:tc>
          <w:tcPr>
            <w:tcW w:w="4206" w:type="dxa"/>
            <w:shd w:val="clear" w:color="auto" w:fill="FAFAFA"/>
            <w:vAlign w:val="center"/>
          </w:tcPr>
          <w:p>
            <w:pPr>
              <w:pageBreakBefore w:val="0"/>
              <w:kinsoku/>
              <w:wordWrap/>
              <w:bidi w:val="0"/>
              <w:spacing w:line="570" w:lineRule="exact"/>
              <w:jc w:val="both"/>
              <w:rPr>
                <w:highlight w:val="none"/>
              </w:rPr>
            </w:pPr>
            <w:r>
              <w:rPr>
                <w:highlight w:val="none"/>
              </w:rPr>
              <w:drawing>
                <wp:inline distT="0" distB="0" distL="114300" distR="114300">
                  <wp:extent cx="66675" cy="114300"/>
                  <wp:effectExtent l="0" t="0" r="9525" b="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8"/>
                          <a:stretch>
                            <a:fillRect/>
                          </a:stretch>
                        </pic:blipFill>
                        <pic:spPr>
                          <a:xfrm>
                            <a:off x="0" y="0"/>
                            <a:ext cx="66675" cy="114300"/>
                          </a:xfrm>
                          <a:prstGeom prst="rect">
                            <a:avLst/>
                          </a:prstGeom>
                          <a:noFill/>
                          <a:ln>
                            <a:noFill/>
                          </a:ln>
                        </pic:spPr>
                      </pic:pic>
                    </a:graphicData>
                  </a:graphic>
                </wp:inline>
              </w:drawing>
            </w:r>
            <w:r>
              <w:rPr>
                <w:highlight w:val="none"/>
              </w:rPr>
              <w:drawing>
                <wp:inline distT="0" distB="0" distL="114300" distR="114300">
                  <wp:extent cx="1285875" cy="114300"/>
                  <wp:effectExtent l="0" t="0" r="9525" b="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9"/>
                          <a:stretch>
                            <a:fillRect/>
                          </a:stretch>
                        </pic:blipFill>
                        <pic:spPr>
                          <a:xfrm>
                            <a:off x="0" y="0"/>
                            <a:ext cx="1285875" cy="114300"/>
                          </a:xfrm>
                          <a:prstGeom prst="rect">
                            <a:avLst/>
                          </a:prstGeom>
                          <a:noFill/>
                          <a:ln>
                            <a:noFill/>
                          </a:ln>
                        </pic:spPr>
                      </pic:pic>
                    </a:graphicData>
                  </a:graphic>
                </wp:inline>
              </w:drawing>
            </w:r>
            <w:r>
              <w:rPr>
                <w:highlight w:val="none"/>
              </w:rPr>
              <w:t>5.38%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64" w:type="dxa"/>
            <w:shd w:val="clear" w:color="auto" w:fill="F5F5F5"/>
            <w:vAlign w:val="center"/>
          </w:tcPr>
          <w:p>
            <w:pPr>
              <w:pageBreakBefore w:val="0"/>
              <w:kinsoku/>
              <w:wordWrap/>
              <w:bidi w:val="0"/>
              <w:spacing w:line="570" w:lineRule="exact"/>
              <w:jc w:val="both"/>
              <w:rPr>
                <w:highlight w:val="none"/>
              </w:rPr>
            </w:pPr>
            <w:r>
              <w:rPr>
                <w:highlight w:val="none"/>
              </w:rPr>
              <w:t>本题有效填写人次</w:t>
            </w:r>
          </w:p>
        </w:tc>
        <w:tc>
          <w:tcPr>
            <w:tcW w:w="1490" w:type="dxa"/>
            <w:shd w:val="clear" w:color="auto" w:fill="F5F5F5"/>
            <w:vAlign w:val="center"/>
          </w:tcPr>
          <w:p>
            <w:pPr>
              <w:pageBreakBefore w:val="0"/>
              <w:kinsoku/>
              <w:wordWrap/>
              <w:bidi w:val="0"/>
              <w:spacing w:line="570" w:lineRule="exact"/>
              <w:jc w:val="both"/>
              <w:rPr>
                <w:highlight w:val="none"/>
              </w:rPr>
            </w:pPr>
            <w:r>
              <w:rPr>
                <w:highlight w:val="none"/>
              </w:rPr>
              <w:t>223</w:t>
            </w:r>
          </w:p>
        </w:tc>
        <w:tc>
          <w:tcPr>
            <w:tcW w:w="4206" w:type="dxa"/>
            <w:shd w:val="clear" w:color="auto" w:fill="F5F5F5"/>
            <w:vAlign w:val="center"/>
          </w:tcPr>
          <w:p>
            <w:pPr>
              <w:pageBreakBefore w:val="0"/>
              <w:kinsoku/>
              <w:wordWrap/>
              <w:bidi w:val="0"/>
              <w:spacing w:line="570" w:lineRule="exact"/>
              <w:jc w:val="both"/>
              <w:rPr>
                <w:highlight w:val="none"/>
              </w:rPr>
            </w:pPr>
          </w:p>
        </w:tc>
      </w:tr>
    </w:tbl>
    <w:p>
      <w:pPr>
        <w:pageBreakBefore w:val="0"/>
        <w:kinsoku/>
        <w:wordWrap/>
        <w:bidi w:val="0"/>
        <w:spacing w:line="570" w:lineRule="exact"/>
        <w:jc w:val="both"/>
        <w:rPr>
          <w:highlight w:val="none"/>
        </w:rPr>
      </w:pPr>
      <w:r>
        <w:rPr>
          <w:b w:val="0"/>
          <w:color w:val="000000"/>
          <w:sz w:val="24"/>
          <w:highlight w:val="none"/>
        </w:rPr>
        <w:t>第4题您或者亲戚朋友的</w:t>
      </w:r>
      <w:bookmarkStart w:id="183" w:name="_GoBack"/>
      <w:bookmarkEnd w:id="183"/>
      <w:r>
        <w:rPr>
          <w:b w:val="0"/>
          <w:color w:val="000000"/>
          <w:sz w:val="24"/>
          <w:highlight w:val="none"/>
        </w:rPr>
        <w:t>耕地取过土壤样品吗？</w:t>
      </w:r>
      <w:r>
        <w:rPr>
          <w:b w:val="0"/>
          <w:color w:val="0066FF"/>
          <w:sz w:val="24"/>
          <w:highlight w:val="none"/>
        </w:rPr>
        <w:t>[单选题]</w:t>
      </w:r>
    </w:p>
    <w:tbl>
      <w:tblPr>
        <w:tblStyle w:val="21"/>
        <w:tblW w:w="9060"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3352"/>
        <w:gridCol w:w="1485"/>
        <w:gridCol w:w="4223"/>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52" w:type="dxa"/>
            <w:shd w:val="clear" w:color="auto" w:fill="F5F5F5"/>
            <w:vAlign w:val="center"/>
          </w:tcPr>
          <w:p>
            <w:pPr>
              <w:pageBreakBefore w:val="0"/>
              <w:kinsoku/>
              <w:wordWrap/>
              <w:bidi w:val="0"/>
              <w:spacing w:line="570" w:lineRule="exact"/>
              <w:jc w:val="both"/>
              <w:rPr>
                <w:highlight w:val="none"/>
              </w:rPr>
            </w:pPr>
            <w:r>
              <w:rPr>
                <w:highlight w:val="none"/>
              </w:rPr>
              <w:t>选项</w:t>
            </w:r>
          </w:p>
        </w:tc>
        <w:tc>
          <w:tcPr>
            <w:tcW w:w="1485" w:type="dxa"/>
            <w:shd w:val="clear" w:color="auto" w:fill="F5F5F5"/>
            <w:vAlign w:val="center"/>
          </w:tcPr>
          <w:p>
            <w:pPr>
              <w:pageBreakBefore w:val="0"/>
              <w:kinsoku/>
              <w:wordWrap/>
              <w:bidi w:val="0"/>
              <w:spacing w:line="570" w:lineRule="exact"/>
              <w:jc w:val="both"/>
              <w:rPr>
                <w:highlight w:val="none"/>
              </w:rPr>
            </w:pPr>
            <w:r>
              <w:rPr>
                <w:highlight w:val="none"/>
              </w:rPr>
              <w:t>小计</w:t>
            </w:r>
          </w:p>
        </w:tc>
        <w:tc>
          <w:tcPr>
            <w:tcW w:w="4223" w:type="dxa"/>
            <w:shd w:val="clear" w:color="auto" w:fill="F5F5F5"/>
            <w:vAlign w:val="center"/>
          </w:tcPr>
          <w:p>
            <w:pPr>
              <w:pageBreakBefore w:val="0"/>
              <w:kinsoku/>
              <w:wordWrap/>
              <w:bidi w:val="0"/>
              <w:spacing w:line="570" w:lineRule="exact"/>
              <w:jc w:val="both"/>
              <w:rPr>
                <w:highlight w:val="none"/>
              </w:rPr>
            </w:pPr>
            <w:r>
              <w:rPr>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52" w:type="dxa"/>
            <w:shd w:val="clear" w:color="auto" w:fill="FFFFFF"/>
            <w:vAlign w:val="center"/>
          </w:tcPr>
          <w:p>
            <w:pPr>
              <w:pageBreakBefore w:val="0"/>
              <w:kinsoku/>
              <w:wordWrap/>
              <w:bidi w:val="0"/>
              <w:spacing w:line="570" w:lineRule="exact"/>
              <w:jc w:val="both"/>
              <w:rPr>
                <w:highlight w:val="none"/>
              </w:rPr>
            </w:pPr>
            <w:r>
              <w:rPr>
                <w:highlight w:val="none"/>
              </w:rPr>
              <w:t>取过土壤样品</w:t>
            </w:r>
          </w:p>
        </w:tc>
        <w:tc>
          <w:tcPr>
            <w:tcW w:w="1485" w:type="dxa"/>
            <w:shd w:val="clear" w:color="auto" w:fill="FFFFFF"/>
            <w:vAlign w:val="center"/>
          </w:tcPr>
          <w:p>
            <w:pPr>
              <w:pageBreakBefore w:val="0"/>
              <w:kinsoku/>
              <w:wordWrap/>
              <w:bidi w:val="0"/>
              <w:spacing w:line="570" w:lineRule="exact"/>
              <w:jc w:val="both"/>
              <w:rPr>
                <w:highlight w:val="none"/>
              </w:rPr>
            </w:pPr>
            <w:r>
              <w:rPr>
                <w:highlight w:val="none"/>
              </w:rPr>
              <w:t>210</w:t>
            </w:r>
          </w:p>
        </w:tc>
        <w:tc>
          <w:tcPr>
            <w:tcW w:w="4223" w:type="dxa"/>
            <w:shd w:val="clear" w:color="auto" w:fill="FFFFFF"/>
            <w:vAlign w:val="center"/>
          </w:tcPr>
          <w:p>
            <w:pPr>
              <w:pageBreakBefore w:val="0"/>
              <w:kinsoku/>
              <w:wordWrap/>
              <w:bidi w:val="0"/>
              <w:spacing w:line="570" w:lineRule="exact"/>
              <w:jc w:val="both"/>
              <w:rPr>
                <w:highlight w:val="none"/>
              </w:rPr>
            </w:pPr>
            <w:r>
              <w:rPr>
                <w:highlight w:val="none"/>
              </w:rPr>
              <w:drawing>
                <wp:inline distT="0" distB="0" distL="114300" distR="114300">
                  <wp:extent cx="1266825" cy="114300"/>
                  <wp:effectExtent l="0" t="0" r="9525"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2"/>
                          <a:stretch>
                            <a:fillRect/>
                          </a:stretch>
                        </pic:blipFill>
                        <pic:spPr>
                          <a:xfrm>
                            <a:off x="0" y="0"/>
                            <a:ext cx="1266825" cy="114300"/>
                          </a:xfrm>
                          <a:prstGeom prst="rect">
                            <a:avLst/>
                          </a:prstGeom>
                          <a:noFill/>
                          <a:ln>
                            <a:noFill/>
                          </a:ln>
                        </pic:spPr>
                      </pic:pic>
                    </a:graphicData>
                  </a:graphic>
                </wp:inline>
              </w:drawing>
            </w:r>
            <w:r>
              <w:rPr>
                <w:highlight w:val="none"/>
              </w:rPr>
              <w:drawing>
                <wp:inline distT="0" distB="0" distL="114300" distR="114300">
                  <wp:extent cx="85725" cy="114300"/>
                  <wp:effectExtent l="0" t="0" r="9525" b="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13"/>
                          <a:stretch>
                            <a:fillRect/>
                          </a:stretch>
                        </pic:blipFill>
                        <pic:spPr>
                          <a:xfrm>
                            <a:off x="0" y="0"/>
                            <a:ext cx="85725" cy="114300"/>
                          </a:xfrm>
                          <a:prstGeom prst="rect">
                            <a:avLst/>
                          </a:prstGeom>
                          <a:noFill/>
                          <a:ln>
                            <a:noFill/>
                          </a:ln>
                        </pic:spPr>
                      </pic:pic>
                    </a:graphicData>
                  </a:graphic>
                </wp:inline>
              </w:drawing>
            </w:r>
            <w:r>
              <w:rPr>
                <w:highlight w:val="none"/>
              </w:rPr>
              <w:t>94.17%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52" w:type="dxa"/>
            <w:shd w:val="clear" w:color="auto" w:fill="FAFAFA"/>
            <w:vAlign w:val="center"/>
          </w:tcPr>
          <w:p>
            <w:pPr>
              <w:pageBreakBefore w:val="0"/>
              <w:kinsoku/>
              <w:wordWrap/>
              <w:bidi w:val="0"/>
              <w:spacing w:line="570" w:lineRule="exact"/>
              <w:jc w:val="both"/>
              <w:rPr>
                <w:highlight w:val="none"/>
              </w:rPr>
            </w:pPr>
            <w:r>
              <w:rPr>
                <w:highlight w:val="none"/>
              </w:rPr>
              <w:t>没有取过土壤样品</w:t>
            </w:r>
          </w:p>
        </w:tc>
        <w:tc>
          <w:tcPr>
            <w:tcW w:w="1485" w:type="dxa"/>
            <w:shd w:val="clear" w:color="auto" w:fill="FAFAFA"/>
            <w:vAlign w:val="center"/>
          </w:tcPr>
          <w:p>
            <w:pPr>
              <w:pageBreakBefore w:val="0"/>
              <w:kinsoku/>
              <w:wordWrap/>
              <w:bidi w:val="0"/>
              <w:spacing w:line="570" w:lineRule="exact"/>
              <w:jc w:val="both"/>
              <w:rPr>
                <w:highlight w:val="none"/>
              </w:rPr>
            </w:pPr>
            <w:r>
              <w:rPr>
                <w:highlight w:val="none"/>
              </w:rPr>
              <w:t>13</w:t>
            </w:r>
          </w:p>
        </w:tc>
        <w:tc>
          <w:tcPr>
            <w:tcW w:w="4223" w:type="dxa"/>
            <w:shd w:val="clear" w:color="auto" w:fill="FAFAFA"/>
            <w:vAlign w:val="center"/>
          </w:tcPr>
          <w:p>
            <w:pPr>
              <w:pageBreakBefore w:val="0"/>
              <w:kinsoku/>
              <w:wordWrap/>
              <w:bidi w:val="0"/>
              <w:spacing w:line="570" w:lineRule="exact"/>
              <w:jc w:val="both"/>
              <w:rPr>
                <w:highlight w:val="none"/>
              </w:rPr>
            </w:pPr>
            <w:r>
              <w:rPr>
                <w:highlight w:val="none"/>
              </w:rPr>
              <w:drawing>
                <wp:inline distT="0" distB="0" distL="114300" distR="114300">
                  <wp:extent cx="76200" cy="114300"/>
                  <wp:effectExtent l="0" t="0" r="0" b="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14"/>
                          <a:stretch>
                            <a:fillRect/>
                          </a:stretch>
                        </pic:blipFill>
                        <pic:spPr>
                          <a:xfrm>
                            <a:off x="0" y="0"/>
                            <a:ext cx="76200" cy="114300"/>
                          </a:xfrm>
                          <a:prstGeom prst="rect">
                            <a:avLst/>
                          </a:prstGeom>
                          <a:noFill/>
                          <a:ln>
                            <a:noFill/>
                          </a:ln>
                        </pic:spPr>
                      </pic:pic>
                    </a:graphicData>
                  </a:graphic>
                </wp:inline>
              </w:drawing>
            </w:r>
            <w:r>
              <w:rPr>
                <w:highlight w:val="none"/>
              </w:rPr>
              <w:drawing>
                <wp:inline distT="0" distB="0" distL="114300" distR="114300">
                  <wp:extent cx="1276350" cy="114300"/>
                  <wp:effectExtent l="0" t="0" r="0" b="0"/>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15"/>
                          <a:stretch>
                            <a:fillRect/>
                          </a:stretch>
                        </pic:blipFill>
                        <pic:spPr>
                          <a:xfrm>
                            <a:off x="0" y="0"/>
                            <a:ext cx="1276350" cy="114300"/>
                          </a:xfrm>
                          <a:prstGeom prst="rect">
                            <a:avLst/>
                          </a:prstGeom>
                          <a:noFill/>
                          <a:ln>
                            <a:noFill/>
                          </a:ln>
                        </pic:spPr>
                      </pic:pic>
                    </a:graphicData>
                  </a:graphic>
                </wp:inline>
              </w:drawing>
            </w:r>
            <w:r>
              <w:rPr>
                <w:highlight w:val="none"/>
              </w:rPr>
              <w:t>5.83%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52" w:type="dxa"/>
            <w:shd w:val="clear" w:color="auto" w:fill="F5F5F5"/>
            <w:vAlign w:val="center"/>
          </w:tcPr>
          <w:p>
            <w:pPr>
              <w:pageBreakBefore w:val="0"/>
              <w:kinsoku/>
              <w:wordWrap/>
              <w:bidi w:val="0"/>
              <w:spacing w:line="570" w:lineRule="exact"/>
              <w:jc w:val="both"/>
              <w:rPr>
                <w:highlight w:val="none"/>
              </w:rPr>
            </w:pPr>
            <w:r>
              <w:rPr>
                <w:highlight w:val="none"/>
              </w:rPr>
              <w:t>本题有效填写人次</w:t>
            </w:r>
          </w:p>
        </w:tc>
        <w:tc>
          <w:tcPr>
            <w:tcW w:w="1485" w:type="dxa"/>
            <w:shd w:val="clear" w:color="auto" w:fill="F5F5F5"/>
            <w:vAlign w:val="center"/>
          </w:tcPr>
          <w:p>
            <w:pPr>
              <w:pageBreakBefore w:val="0"/>
              <w:kinsoku/>
              <w:wordWrap/>
              <w:bidi w:val="0"/>
              <w:spacing w:line="570" w:lineRule="exact"/>
              <w:jc w:val="both"/>
              <w:rPr>
                <w:highlight w:val="none"/>
              </w:rPr>
            </w:pPr>
            <w:r>
              <w:rPr>
                <w:highlight w:val="none"/>
              </w:rPr>
              <w:t>223</w:t>
            </w:r>
          </w:p>
        </w:tc>
        <w:tc>
          <w:tcPr>
            <w:tcW w:w="4223" w:type="dxa"/>
            <w:shd w:val="clear" w:color="auto" w:fill="F5F5F5"/>
            <w:vAlign w:val="center"/>
          </w:tcPr>
          <w:p>
            <w:pPr>
              <w:pageBreakBefore w:val="0"/>
              <w:kinsoku/>
              <w:wordWrap/>
              <w:bidi w:val="0"/>
              <w:spacing w:line="570" w:lineRule="exact"/>
              <w:jc w:val="both"/>
              <w:rPr>
                <w:highlight w:val="none"/>
              </w:rPr>
            </w:pPr>
          </w:p>
        </w:tc>
      </w:tr>
    </w:tbl>
    <w:p>
      <w:pPr>
        <w:pageBreakBefore w:val="0"/>
        <w:kinsoku/>
        <w:wordWrap/>
        <w:bidi w:val="0"/>
        <w:spacing w:line="570" w:lineRule="exact"/>
        <w:jc w:val="both"/>
        <w:rPr>
          <w:highlight w:val="none"/>
        </w:rPr>
      </w:pPr>
      <w:r>
        <w:rPr>
          <w:b w:val="0"/>
          <w:color w:val="000000"/>
          <w:sz w:val="24"/>
          <w:highlight w:val="none"/>
        </w:rPr>
        <w:t>第5题您对项目执行的了解情况：</w:t>
      </w:r>
      <w:r>
        <w:rPr>
          <w:b w:val="0"/>
          <w:color w:val="0066FF"/>
          <w:sz w:val="24"/>
          <w:highlight w:val="none"/>
        </w:rPr>
        <w:t>[单选题]</w:t>
      </w:r>
    </w:p>
    <w:tbl>
      <w:tblPr>
        <w:tblStyle w:val="21"/>
        <w:tblW w:w="9060"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3352"/>
        <w:gridCol w:w="1485"/>
        <w:gridCol w:w="4223"/>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52" w:type="dxa"/>
            <w:shd w:val="clear" w:color="auto" w:fill="F5F5F5"/>
            <w:vAlign w:val="center"/>
          </w:tcPr>
          <w:p>
            <w:pPr>
              <w:pageBreakBefore w:val="0"/>
              <w:kinsoku/>
              <w:wordWrap/>
              <w:bidi w:val="0"/>
              <w:spacing w:line="570" w:lineRule="exact"/>
              <w:jc w:val="both"/>
              <w:rPr>
                <w:highlight w:val="none"/>
              </w:rPr>
            </w:pPr>
            <w:r>
              <w:rPr>
                <w:highlight w:val="none"/>
              </w:rPr>
              <w:t>选项</w:t>
            </w:r>
          </w:p>
        </w:tc>
        <w:tc>
          <w:tcPr>
            <w:tcW w:w="1485" w:type="dxa"/>
            <w:shd w:val="clear" w:color="auto" w:fill="F5F5F5"/>
            <w:vAlign w:val="center"/>
          </w:tcPr>
          <w:p>
            <w:pPr>
              <w:pageBreakBefore w:val="0"/>
              <w:kinsoku/>
              <w:wordWrap/>
              <w:bidi w:val="0"/>
              <w:spacing w:line="570" w:lineRule="exact"/>
              <w:jc w:val="both"/>
              <w:rPr>
                <w:highlight w:val="none"/>
              </w:rPr>
            </w:pPr>
            <w:r>
              <w:rPr>
                <w:highlight w:val="none"/>
              </w:rPr>
              <w:t>小计</w:t>
            </w:r>
          </w:p>
        </w:tc>
        <w:tc>
          <w:tcPr>
            <w:tcW w:w="4223" w:type="dxa"/>
            <w:shd w:val="clear" w:color="auto" w:fill="F5F5F5"/>
            <w:vAlign w:val="center"/>
          </w:tcPr>
          <w:p>
            <w:pPr>
              <w:pageBreakBefore w:val="0"/>
              <w:kinsoku/>
              <w:wordWrap/>
              <w:bidi w:val="0"/>
              <w:spacing w:line="570" w:lineRule="exact"/>
              <w:jc w:val="both"/>
              <w:rPr>
                <w:highlight w:val="none"/>
              </w:rPr>
            </w:pPr>
            <w:r>
              <w:rPr>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52" w:type="dxa"/>
            <w:shd w:val="clear" w:color="auto" w:fill="FFFFFF"/>
            <w:vAlign w:val="center"/>
          </w:tcPr>
          <w:p>
            <w:pPr>
              <w:pageBreakBefore w:val="0"/>
              <w:kinsoku/>
              <w:wordWrap/>
              <w:bidi w:val="0"/>
              <w:spacing w:line="570" w:lineRule="exact"/>
              <w:jc w:val="both"/>
              <w:rPr>
                <w:highlight w:val="none"/>
              </w:rPr>
            </w:pPr>
            <w:r>
              <w:rPr>
                <w:highlight w:val="none"/>
              </w:rPr>
              <w:t>非常了解</w:t>
            </w:r>
          </w:p>
        </w:tc>
        <w:tc>
          <w:tcPr>
            <w:tcW w:w="1485" w:type="dxa"/>
            <w:shd w:val="clear" w:color="auto" w:fill="FFFFFF"/>
            <w:vAlign w:val="center"/>
          </w:tcPr>
          <w:p>
            <w:pPr>
              <w:pageBreakBefore w:val="0"/>
              <w:kinsoku/>
              <w:wordWrap/>
              <w:bidi w:val="0"/>
              <w:spacing w:line="570" w:lineRule="exact"/>
              <w:jc w:val="both"/>
              <w:rPr>
                <w:highlight w:val="none"/>
              </w:rPr>
            </w:pPr>
            <w:r>
              <w:rPr>
                <w:highlight w:val="none"/>
              </w:rPr>
              <w:t>206</w:t>
            </w:r>
          </w:p>
        </w:tc>
        <w:tc>
          <w:tcPr>
            <w:tcW w:w="4223" w:type="dxa"/>
            <w:shd w:val="clear" w:color="auto" w:fill="FFFFFF"/>
            <w:vAlign w:val="center"/>
          </w:tcPr>
          <w:p>
            <w:pPr>
              <w:pageBreakBefore w:val="0"/>
              <w:kinsoku/>
              <w:wordWrap/>
              <w:bidi w:val="0"/>
              <w:spacing w:line="570" w:lineRule="exact"/>
              <w:jc w:val="both"/>
              <w:rPr>
                <w:highlight w:val="none"/>
              </w:rPr>
            </w:pPr>
            <w:r>
              <w:rPr>
                <w:highlight w:val="none"/>
              </w:rPr>
              <w:drawing>
                <wp:inline distT="0" distB="0" distL="114300" distR="114300">
                  <wp:extent cx="1247775" cy="114300"/>
                  <wp:effectExtent l="0" t="0" r="9525"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pic:cNvPicPr>
                        </pic:nvPicPr>
                        <pic:blipFill>
                          <a:blip r:embed="rId20"/>
                          <a:stretch>
                            <a:fillRect/>
                          </a:stretch>
                        </pic:blipFill>
                        <pic:spPr>
                          <a:xfrm>
                            <a:off x="0" y="0"/>
                            <a:ext cx="1247775" cy="114300"/>
                          </a:xfrm>
                          <a:prstGeom prst="rect">
                            <a:avLst/>
                          </a:prstGeom>
                          <a:noFill/>
                          <a:ln>
                            <a:noFill/>
                          </a:ln>
                        </pic:spPr>
                      </pic:pic>
                    </a:graphicData>
                  </a:graphic>
                </wp:inline>
              </w:drawing>
            </w:r>
            <w:r>
              <w:rPr>
                <w:highlight w:val="none"/>
              </w:rPr>
              <w:drawing>
                <wp:inline distT="0" distB="0" distL="114300" distR="114300">
                  <wp:extent cx="104775" cy="114300"/>
                  <wp:effectExtent l="0" t="0" r="9525" b="0"/>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21"/>
                          <a:stretch>
                            <a:fillRect/>
                          </a:stretch>
                        </pic:blipFill>
                        <pic:spPr>
                          <a:xfrm>
                            <a:off x="0" y="0"/>
                            <a:ext cx="104775" cy="114300"/>
                          </a:xfrm>
                          <a:prstGeom prst="rect">
                            <a:avLst/>
                          </a:prstGeom>
                          <a:noFill/>
                          <a:ln>
                            <a:noFill/>
                          </a:ln>
                        </pic:spPr>
                      </pic:pic>
                    </a:graphicData>
                  </a:graphic>
                </wp:inline>
              </w:drawing>
            </w:r>
            <w:r>
              <w:rPr>
                <w:highlight w:val="none"/>
              </w:rPr>
              <w:t>92.38%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52" w:type="dxa"/>
            <w:shd w:val="clear" w:color="auto" w:fill="FAFAFA"/>
            <w:vAlign w:val="center"/>
          </w:tcPr>
          <w:p>
            <w:pPr>
              <w:pageBreakBefore w:val="0"/>
              <w:kinsoku/>
              <w:wordWrap/>
              <w:bidi w:val="0"/>
              <w:spacing w:line="570" w:lineRule="exact"/>
              <w:jc w:val="both"/>
              <w:rPr>
                <w:highlight w:val="none"/>
              </w:rPr>
            </w:pPr>
            <w:r>
              <w:rPr>
                <w:highlight w:val="none"/>
              </w:rPr>
              <w:t>了解</w:t>
            </w:r>
          </w:p>
        </w:tc>
        <w:tc>
          <w:tcPr>
            <w:tcW w:w="1485" w:type="dxa"/>
            <w:shd w:val="clear" w:color="auto" w:fill="FAFAFA"/>
            <w:vAlign w:val="center"/>
          </w:tcPr>
          <w:p>
            <w:pPr>
              <w:pageBreakBefore w:val="0"/>
              <w:kinsoku/>
              <w:wordWrap/>
              <w:bidi w:val="0"/>
              <w:spacing w:line="570" w:lineRule="exact"/>
              <w:jc w:val="both"/>
              <w:rPr>
                <w:highlight w:val="none"/>
              </w:rPr>
            </w:pPr>
            <w:r>
              <w:rPr>
                <w:highlight w:val="none"/>
              </w:rPr>
              <w:t>15</w:t>
            </w:r>
          </w:p>
        </w:tc>
        <w:tc>
          <w:tcPr>
            <w:tcW w:w="4223" w:type="dxa"/>
            <w:shd w:val="clear" w:color="auto" w:fill="FAFAFA"/>
            <w:vAlign w:val="center"/>
          </w:tcPr>
          <w:p>
            <w:pPr>
              <w:pageBreakBefore w:val="0"/>
              <w:kinsoku/>
              <w:wordWrap/>
              <w:bidi w:val="0"/>
              <w:spacing w:line="570" w:lineRule="exact"/>
              <w:jc w:val="both"/>
              <w:rPr>
                <w:highlight w:val="none"/>
              </w:rPr>
            </w:pPr>
            <w:r>
              <w:rPr>
                <w:highlight w:val="none"/>
              </w:rPr>
              <w:drawing>
                <wp:inline distT="0" distB="0" distL="114300" distR="114300">
                  <wp:extent cx="85725" cy="114300"/>
                  <wp:effectExtent l="0" t="0" r="9525"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22"/>
                          <a:stretch>
                            <a:fillRect/>
                          </a:stretch>
                        </pic:blipFill>
                        <pic:spPr>
                          <a:xfrm>
                            <a:off x="0" y="0"/>
                            <a:ext cx="85725" cy="114300"/>
                          </a:xfrm>
                          <a:prstGeom prst="rect">
                            <a:avLst/>
                          </a:prstGeom>
                          <a:noFill/>
                          <a:ln>
                            <a:noFill/>
                          </a:ln>
                        </pic:spPr>
                      </pic:pic>
                    </a:graphicData>
                  </a:graphic>
                </wp:inline>
              </w:drawing>
            </w:r>
            <w:r>
              <w:rPr>
                <w:highlight w:val="none"/>
              </w:rPr>
              <w:drawing>
                <wp:inline distT="0" distB="0" distL="114300" distR="114300">
                  <wp:extent cx="1266825" cy="114300"/>
                  <wp:effectExtent l="0" t="0" r="9525" b="0"/>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pic:cNvPicPr>
                        </pic:nvPicPr>
                        <pic:blipFill>
                          <a:blip r:embed="rId23"/>
                          <a:stretch>
                            <a:fillRect/>
                          </a:stretch>
                        </pic:blipFill>
                        <pic:spPr>
                          <a:xfrm>
                            <a:off x="0" y="0"/>
                            <a:ext cx="1266825" cy="114300"/>
                          </a:xfrm>
                          <a:prstGeom prst="rect">
                            <a:avLst/>
                          </a:prstGeom>
                          <a:noFill/>
                          <a:ln>
                            <a:noFill/>
                          </a:ln>
                        </pic:spPr>
                      </pic:pic>
                    </a:graphicData>
                  </a:graphic>
                </wp:inline>
              </w:drawing>
            </w:r>
            <w:r>
              <w:rPr>
                <w:highlight w:val="none"/>
              </w:rPr>
              <w:t>6.73%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52" w:type="dxa"/>
            <w:shd w:val="clear" w:color="auto" w:fill="FFFFFF"/>
            <w:vAlign w:val="center"/>
          </w:tcPr>
          <w:p>
            <w:pPr>
              <w:pageBreakBefore w:val="0"/>
              <w:kinsoku/>
              <w:wordWrap/>
              <w:bidi w:val="0"/>
              <w:spacing w:line="570" w:lineRule="exact"/>
              <w:jc w:val="both"/>
              <w:rPr>
                <w:highlight w:val="none"/>
              </w:rPr>
            </w:pPr>
            <w:r>
              <w:rPr>
                <w:highlight w:val="none"/>
              </w:rPr>
              <w:t>不了解</w:t>
            </w:r>
          </w:p>
        </w:tc>
        <w:tc>
          <w:tcPr>
            <w:tcW w:w="1485" w:type="dxa"/>
            <w:shd w:val="clear" w:color="auto" w:fill="FFFFFF"/>
            <w:vAlign w:val="center"/>
          </w:tcPr>
          <w:p>
            <w:pPr>
              <w:pageBreakBefore w:val="0"/>
              <w:kinsoku/>
              <w:wordWrap/>
              <w:bidi w:val="0"/>
              <w:spacing w:line="570" w:lineRule="exact"/>
              <w:jc w:val="both"/>
              <w:rPr>
                <w:highlight w:val="none"/>
              </w:rPr>
            </w:pPr>
            <w:r>
              <w:rPr>
                <w:highlight w:val="none"/>
              </w:rPr>
              <w:t>2</w:t>
            </w:r>
          </w:p>
        </w:tc>
        <w:tc>
          <w:tcPr>
            <w:tcW w:w="4223" w:type="dxa"/>
            <w:shd w:val="clear" w:color="auto" w:fill="FFFFFF"/>
            <w:vAlign w:val="center"/>
          </w:tcPr>
          <w:p>
            <w:pPr>
              <w:pageBreakBefore w:val="0"/>
              <w:kinsoku/>
              <w:wordWrap/>
              <w:bidi w:val="0"/>
              <w:spacing w:line="570" w:lineRule="exact"/>
              <w:jc w:val="both"/>
              <w:rPr>
                <w:highlight w:val="none"/>
              </w:rPr>
            </w:pPr>
            <w:r>
              <w:rPr>
                <w:highlight w:val="none"/>
              </w:rPr>
              <w:drawing>
                <wp:inline distT="0" distB="0" distL="114300" distR="114300">
                  <wp:extent cx="9525" cy="114300"/>
                  <wp:effectExtent l="0" t="0" r="9525" b="0"/>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24"/>
                          <a:stretch>
                            <a:fillRect/>
                          </a:stretch>
                        </pic:blipFill>
                        <pic:spPr>
                          <a:xfrm>
                            <a:off x="0" y="0"/>
                            <a:ext cx="9525" cy="114300"/>
                          </a:xfrm>
                          <a:prstGeom prst="rect">
                            <a:avLst/>
                          </a:prstGeom>
                          <a:noFill/>
                          <a:ln>
                            <a:noFill/>
                          </a:ln>
                        </pic:spPr>
                      </pic:pic>
                    </a:graphicData>
                  </a:graphic>
                </wp:inline>
              </w:drawing>
            </w:r>
            <w:r>
              <w:rPr>
                <w:highlight w:val="none"/>
              </w:rPr>
              <w:drawing>
                <wp:inline distT="0" distB="0" distL="114300" distR="114300">
                  <wp:extent cx="1343025" cy="114300"/>
                  <wp:effectExtent l="0" t="0" r="9525" b="0"/>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pic:cNvPicPr>
                            <a:picLocks noChangeAspect="1"/>
                          </pic:cNvPicPr>
                        </pic:nvPicPr>
                        <pic:blipFill>
                          <a:blip r:embed="rId25"/>
                          <a:stretch>
                            <a:fillRect/>
                          </a:stretch>
                        </pic:blipFill>
                        <pic:spPr>
                          <a:xfrm>
                            <a:off x="0" y="0"/>
                            <a:ext cx="1343025" cy="114300"/>
                          </a:xfrm>
                          <a:prstGeom prst="rect">
                            <a:avLst/>
                          </a:prstGeom>
                          <a:noFill/>
                          <a:ln>
                            <a:noFill/>
                          </a:ln>
                        </pic:spPr>
                      </pic:pic>
                    </a:graphicData>
                  </a:graphic>
                </wp:inline>
              </w:drawing>
            </w:r>
            <w:r>
              <w:rPr>
                <w:highlight w:val="none"/>
              </w:rPr>
              <w:t>0.9%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52" w:type="dxa"/>
            <w:shd w:val="clear" w:color="auto" w:fill="F5F5F5"/>
            <w:vAlign w:val="center"/>
          </w:tcPr>
          <w:p>
            <w:pPr>
              <w:pageBreakBefore w:val="0"/>
              <w:kinsoku/>
              <w:wordWrap/>
              <w:bidi w:val="0"/>
              <w:spacing w:line="570" w:lineRule="exact"/>
              <w:jc w:val="both"/>
              <w:rPr>
                <w:highlight w:val="none"/>
              </w:rPr>
            </w:pPr>
            <w:r>
              <w:rPr>
                <w:highlight w:val="none"/>
              </w:rPr>
              <w:t>本题有效填写人次</w:t>
            </w:r>
          </w:p>
        </w:tc>
        <w:tc>
          <w:tcPr>
            <w:tcW w:w="1485" w:type="dxa"/>
            <w:shd w:val="clear" w:color="auto" w:fill="F5F5F5"/>
            <w:vAlign w:val="center"/>
          </w:tcPr>
          <w:p>
            <w:pPr>
              <w:pageBreakBefore w:val="0"/>
              <w:kinsoku/>
              <w:wordWrap/>
              <w:bidi w:val="0"/>
              <w:spacing w:line="570" w:lineRule="exact"/>
              <w:jc w:val="both"/>
              <w:rPr>
                <w:highlight w:val="none"/>
              </w:rPr>
            </w:pPr>
            <w:r>
              <w:rPr>
                <w:highlight w:val="none"/>
              </w:rPr>
              <w:t>223</w:t>
            </w:r>
          </w:p>
        </w:tc>
        <w:tc>
          <w:tcPr>
            <w:tcW w:w="4223" w:type="dxa"/>
            <w:shd w:val="clear" w:color="auto" w:fill="F5F5F5"/>
            <w:vAlign w:val="center"/>
          </w:tcPr>
          <w:p>
            <w:pPr>
              <w:pageBreakBefore w:val="0"/>
              <w:kinsoku/>
              <w:wordWrap/>
              <w:bidi w:val="0"/>
              <w:spacing w:line="570" w:lineRule="exact"/>
              <w:jc w:val="both"/>
              <w:rPr>
                <w:highlight w:val="none"/>
              </w:rPr>
            </w:pPr>
          </w:p>
        </w:tc>
      </w:tr>
    </w:tbl>
    <w:p>
      <w:pPr>
        <w:pageBreakBefore w:val="0"/>
        <w:kinsoku/>
        <w:wordWrap/>
        <w:bidi w:val="0"/>
        <w:spacing w:line="570" w:lineRule="exact"/>
        <w:jc w:val="both"/>
        <w:rPr>
          <w:highlight w:val="none"/>
        </w:rPr>
      </w:pPr>
      <w:r>
        <w:rPr>
          <w:b w:val="0"/>
          <w:color w:val="000000"/>
          <w:sz w:val="24"/>
          <w:highlight w:val="none"/>
        </w:rPr>
        <w:t>第6题您对项目执行情况的评价：</w:t>
      </w:r>
      <w:r>
        <w:rPr>
          <w:b w:val="0"/>
          <w:color w:val="0066FF"/>
          <w:sz w:val="24"/>
          <w:highlight w:val="none"/>
        </w:rPr>
        <w:t>[单选题]</w:t>
      </w:r>
    </w:p>
    <w:tbl>
      <w:tblPr>
        <w:tblStyle w:val="21"/>
        <w:tblW w:w="9060"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3364"/>
        <w:gridCol w:w="1490"/>
        <w:gridCol w:w="4206"/>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64" w:type="dxa"/>
            <w:shd w:val="clear" w:color="auto" w:fill="F5F5F5"/>
            <w:vAlign w:val="center"/>
          </w:tcPr>
          <w:p>
            <w:pPr>
              <w:pageBreakBefore w:val="0"/>
              <w:kinsoku/>
              <w:wordWrap/>
              <w:bidi w:val="0"/>
              <w:spacing w:line="570" w:lineRule="exact"/>
              <w:jc w:val="both"/>
              <w:rPr>
                <w:highlight w:val="none"/>
              </w:rPr>
            </w:pPr>
            <w:r>
              <w:rPr>
                <w:highlight w:val="none"/>
              </w:rPr>
              <w:t>选项</w:t>
            </w:r>
          </w:p>
        </w:tc>
        <w:tc>
          <w:tcPr>
            <w:tcW w:w="1490" w:type="dxa"/>
            <w:shd w:val="clear" w:color="auto" w:fill="F5F5F5"/>
            <w:vAlign w:val="center"/>
          </w:tcPr>
          <w:p>
            <w:pPr>
              <w:pageBreakBefore w:val="0"/>
              <w:kinsoku/>
              <w:wordWrap/>
              <w:bidi w:val="0"/>
              <w:spacing w:line="570" w:lineRule="exact"/>
              <w:jc w:val="both"/>
              <w:rPr>
                <w:highlight w:val="none"/>
              </w:rPr>
            </w:pPr>
            <w:r>
              <w:rPr>
                <w:highlight w:val="none"/>
              </w:rPr>
              <w:t>小计</w:t>
            </w:r>
          </w:p>
        </w:tc>
        <w:tc>
          <w:tcPr>
            <w:tcW w:w="4206" w:type="dxa"/>
            <w:shd w:val="clear" w:color="auto" w:fill="F5F5F5"/>
            <w:vAlign w:val="center"/>
          </w:tcPr>
          <w:p>
            <w:pPr>
              <w:pageBreakBefore w:val="0"/>
              <w:kinsoku/>
              <w:wordWrap/>
              <w:bidi w:val="0"/>
              <w:spacing w:line="570" w:lineRule="exact"/>
              <w:jc w:val="both"/>
              <w:rPr>
                <w:highlight w:val="none"/>
              </w:rPr>
            </w:pPr>
            <w:r>
              <w:rPr>
                <w:highlight w:val="none"/>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64" w:type="dxa"/>
            <w:shd w:val="clear" w:color="auto" w:fill="FFFFFF"/>
            <w:vAlign w:val="center"/>
          </w:tcPr>
          <w:p>
            <w:pPr>
              <w:pageBreakBefore w:val="0"/>
              <w:kinsoku/>
              <w:wordWrap/>
              <w:bidi w:val="0"/>
              <w:spacing w:line="570" w:lineRule="exact"/>
              <w:jc w:val="both"/>
              <w:rPr>
                <w:highlight w:val="none"/>
              </w:rPr>
            </w:pPr>
            <w:r>
              <w:rPr>
                <w:highlight w:val="none"/>
              </w:rPr>
              <w:t>很满意</w:t>
            </w:r>
          </w:p>
        </w:tc>
        <w:tc>
          <w:tcPr>
            <w:tcW w:w="1490" w:type="dxa"/>
            <w:shd w:val="clear" w:color="auto" w:fill="FFFFFF"/>
            <w:vAlign w:val="center"/>
          </w:tcPr>
          <w:p>
            <w:pPr>
              <w:pageBreakBefore w:val="0"/>
              <w:kinsoku/>
              <w:wordWrap/>
              <w:bidi w:val="0"/>
              <w:spacing w:line="570" w:lineRule="exact"/>
              <w:jc w:val="both"/>
              <w:rPr>
                <w:highlight w:val="none"/>
              </w:rPr>
            </w:pPr>
            <w:r>
              <w:rPr>
                <w:highlight w:val="none"/>
              </w:rPr>
              <w:t>202</w:t>
            </w:r>
          </w:p>
        </w:tc>
        <w:tc>
          <w:tcPr>
            <w:tcW w:w="4206" w:type="dxa"/>
            <w:shd w:val="clear" w:color="auto" w:fill="FFFFFF"/>
            <w:vAlign w:val="center"/>
          </w:tcPr>
          <w:p>
            <w:pPr>
              <w:pageBreakBefore w:val="0"/>
              <w:kinsoku/>
              <w:wordWrap/>
              <w:bidi w:val="0"/>
              <w:spacing w:line="570" w:lineRule="exact"/>
              <w:jc w:val="both"/>
              <w:rPr>
                <w:highlight w:val="none"/>
              </w:rPr>
            </w:pPr>
            <w:r>
              <w:rPr>
                <w:highlight w:val="none"/>
              </w:rPr>
              <w:drawing>
                <wp:inline distT="0" distB="0" distL="114300" distR="114300">
                  <wp:extent cx="1219200" cy="114300"/>
                  <wp:effectExtent l="0" t="0" r="0" b="0"/>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pic:cNvPicPr>
                        </pic:nvPicPr>
                        <pic:blipFill>
                          <a:blip r:embed="rId26"/>
                          <a:stretch>
                            <a:fillRect/>
                          </a:stretch>
                        </pic:blipFill>
                        <pic:spPr>
                          <a:xfrm>
                            <a:off x="0" y="0"/>
                            <a:ext cx="1219200" cy="114300"/>
                          </a:xfrm>
                          <a:prstGeom prst="rect">
                            <a:avLst/>
                          </a:prstGeom>
                          <a:noFill/>
                          <a:ln>
                            <a:noFill/>
                          </a:ln>
                        </pic:spPr>
                      </pic:pic>
                    </a:graphicData>
                  </a:graphic>
                </wp:inline>
              </w:drawing>
            </w:r>
            <w:r>
              <w:rPr>
                <w:highlight w:val="none"/>
              </w:rPr>
              <w:drawing>
                <wp:inline distT="0" distB="0" distL="114300" distR="114300">
                  <wp:extent cx="133350" cy="114300"/>
                  <wp:effectExtent l="0" t="0" r="0" b="0"/>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pic:cNvPicPr>
                        </pic:nvPicPr>
                        <pic:blipFill>
                          <a:blip r:embed="rId27"/>
                          <a:stretch>
                            <a:fillRect/>
                          </a:stretch>
                        </pic:blipFill>
                        <pic:spPr>
                          <a:xfrm>
                            <a:off x="0" y="0"/>
                            <a:ext cx="133350" cy="114300"/>
                          </a:xfrm>
                          <a:prstGeom prst="rect">
                            <a:avLst/>
                          </a:prstGeom>
                          <a:noFill/>
                          <a:ln>
                            <a:noFill/>
                          </a:ln>
                        </pic:spPr>
                      </pic:pic>
                    </a:graphicData>
                  </a:graphic>
                </wp:inline>
              </w:drawing>
            </w:r>
            <w:r>
              <w:rPr>
                <w:highlight w:val="none"/>
              </w:rPr>
              <w:t>90.58%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64" w:type="dxa"/>
            <w:shd w:val="clear" w:color="auto" w:fill="FAFAFA"/>
            <w:vAlign w:val="center"/>
          </w:tcPr>
          <w:p>
            <w:pPr>
              <w:pageBreakBefore w:val="0"/>
              <w:kinsoku/>
              <w:wordWrap/>
              <w:bidi w:val="0"/>
              <w:spacing w:line="570" w:lineRule="exact"/>
              <w:jc w:val="both"/>
              <w:rPr>
                <w:highlight w:val="none"/>
              </w:rPr>
            </w:pPr>
            <w:r>
              <w:rPr>
                <w:highlight w:val="none"/>
              </w:rPr>
              <w:t>满意</w:t>
            </w:r>
          </w:p>
        </w:tc>
        <w:tc>
          <w:tcPr>
            <w:tcW w:w="1490" w:type="dxa"/>
            <w:shd w:val="clear" w:color="auto" w:fill="FAFAFA"/>
            <w:vAlign w:val="center"/>
          </w:tcPr>
          <w:p>
            <w:pPr>
              <w:pageBreakBefore w:val="0"/>
              <w:kinsoku/>
              <w:wordWrap/>
              <w:bidi w:val="0"/>
              <w:spacing w:line="570" w:lineRule="exact"/>
              <w:jc w:val="both"/>
              <w:rPr>
                <w:highlight w:val="none"/>
              </w:rPr>
            </w:pPr>
            <w:r>
              <w:rPr>
                <w:highlight w:val="none"/>
              </w:rPr>
              <w:t>16</w:t>
            </w:r>
          </w:p>
        </w:tc>
        <w:tc>
          <w:tcPr>
            <w:tcW w:w="4206" w:type="dxa"/>
            <w:shd w:val="clear" w:color="auto" w:fill="FAFAFA"/>
            <w:vAlign w:val="center"/>
          </w:tcPr>
          <w:p>
            <w:pPr>
              <w:pageBreakBefore w:val="0"/>
              <w:kinsoku/>
              <w:wordWrap/>
              <w:bidi w:val="0"/>
              <w:spacing w:line="570" w:lineRule="exact"/>
              <w:jc w:val="both"/>
              <w:rPr>
                <w:highlight w:val="none"/>
              </w:rPr>
            </w:pPr>
            <w:r>
              <w:rPr>
                <w:highlight w:val="none"/>
              </w:rPr>
              <w:drawing>
                <wp:inline distT="0" distB="0" distL="114300" distR="114300">
                  <wp:extent cx="95250" cy="114300"/>
                  <wp:effectExtent l="0" t="0" r="0" b="0"/>
                  <wp:docPr id="1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pic:cNvPicPr>
                            <a:picLocks noChangeAspect="1"/>
                          </pic:cNvPicPr>
                        </pic:nvPicPr>
                        <pic:blipFill>
                          <a:blip r:embed="rId28"/>
                          <a:stretch>
                            <a:fillRect/>
                          </a:stretch>
                        </pic:blipFill>
                        <pic:spPr>
                          <a:xfrm>
                            <a:off x="0" y="0"/>
                            <a:ext cx="95250" cy="114300"/>
                          </a:xfrm>
                          <a:prstGeom prst="rect">
                            <a:avLst/>
                          </a:prstGeom>
                          <a:noFill/>
                          <a:ln>
                            <a:noFill/>
                          </a:ln>
                        </pic:spPr>
                      </pic:pic>
                    </a:graphicData>
                  </a:graphic>
                </wp:inline>
              </w:drawing>
            </w:r>
            <w:r>
              <w:rPr>
                <w:highlight w:val="none"/>
              </w:rPr>
              <w:drawing>
                <wp:inline distT="0" distB="0" distL="114300" distR="114300">
                  <wp:extent cx="1257300" cy="114300"/>
                  <wp:effectExtent l="0" t="0" r="0" b="0"/>
                  <wp:docPr id="1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pic:cNvPicPr>
                            <a:picLocks noChangeAspect="1"/>
                          </pic:cNvPicPr>
                        </pic:nvPicPr>
                        <pic:blipFill>
                          <a:blip r:embed="rId29"/>
                          <a:stretch>
                            <a:fillRect/>
                          </a:stretch>
                        </pic:blipFill>
                        <pic:spPr>
                          <a:xfrm>
                            <a:off x="0" y="0"/>
                            <a:ext cx="1257300" cy="114300"/>
                          </a:xfrm>
                          <a:prstGeom prst="rect">
                            <a:avLst/>
                          </a:prstGeom>
                          <a:noFill/>
                          <a:ln>
                            <a:noFill/>
                          </a:ln>
                        </pic:spPr>
                      </pic:pic>
                    </a:graphicData>
                  </a:graphic>
                </wp:inline>
              </w:drawing>
            </w:r>
            <w:r>
              <w:rPr>
                <w:highlight w:val="none"/>
              </w:rPr>
              <w:t>7.17%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64" w:type="dxa"/>
            <w:shd w:val="clear" w:color="auto" w:fill="FFFFFF"/>
            <w:vAlign w:val="center"/>
          </w:tcPr>
          <w:p>
            <w:pPr>
              <w:pageBreakBefore w:val="0"/>
              <w:kinsoku/>
              <w:wordWrap/>
              <w:bidi w:val="0"/>
              <w:spacing w:line="570" w:lineRule="exact"/>
              <w:jc w:val="both"/>
              <w:rPr>
                <w:highlight w:val="none"/>
              </w:rPr>
            </w:pPr>
            <w:r>
              <w:rPr>
                <w:highlight w:val="none"/>
              </w:rPr>
              <w:t>一般</w:t>
            </w:r>
          </w:p>
        </w:tc>
        <w:tc>
          <w:tcPr>
            <w:tcW w:w="1490" w:type="dxa"/>
            <w:shd w:val="clear" w:color="auto" w:fill="FFFFFF"/>
            <w:vAlign w:val="center"/>
          </w:tcPr>
          <w:p>
            <w:pPr>
              <w:pageBreakBefore w:val="0"/>
              <w:kinsoku/>
              <w:wordWrap/>
              <w:bidi w:val="0"/>
              <w:spacing w:line="570" w:lineRule="exact"/>
              <w:jc w:val="both"/>
              <w:rPr>
                <w:highlight w:val="none"/>
              </w:rPr>
            </w:pPr>
            <w:r>
              <w:rPr>
                <w:highlight w:val="none"/>
              </w:rPr>
              <w:t>3</w:t>
            </w:r>
          </w:p>
        </w:tc>
        <w:tc>
          <w:tcPr>
            <w:tcW w:w="4206" w:type="dxa"/>
            <w:shd w:val="clear" w:color="auto" w:fill="FFFFFF"/>
            <w:vAlign w:val="center"/>
          </w:tcPr>
          <w:p>
            <w:pPr>
              <w:pageBreakBefore w:val="0"/>
              <w:kinsoku/>
              <w:wordWrap/>
              <w:bidi w:val="0"/>
              <w:spacing w:line="570" w:lineRule="exact"/>
              <w:jc w:val="both"/>
              <w:rPr>
                <w:highlight w:val="none"/>
              </w:rPr>
            </w:pPr>
            <w:r>
              <w:rPr>
                <w:highlight w:val="none"/>
              </w:rPr>
              <w:drawing>
                <wp:inline distT="0" distB="0" distL="114300" distR="114300">
                  <wp:extent cx="9525" cy="114300"/>
                  <wp:effectExtent l="0" t="0" r="9525" b="0"/>
                  <wp:docPr id="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a:blip r:embed="rId24"/>
                          <a:stretch>
                            <a:fillRect/>
                          </a:stretch>
                        </pic:blipFill>
                        <pic:spPr>
                          <a:xfrm>
                            <a:off x="0" y="0"/>
                            <a:ext cx="9525" cy="114300"/>
                          </a:xfrm>
                          <a:prstGeom prst="rect">
                            <a:avLst/>
                          </a:prstGeom>
                          <a:noFill/>
                          <a:ln>
                            <a:noFill/>
                          </a:ln>
                        </pic:spPr>
                      </pic:pic>
                    </a:graphicData>
                  </a:graphic>
                </wp:inline>
              </w:drawing>
            </w:r>
            <w:r>
              <w:rPr>
                <w:highlight w:val="none"/>
              </w:rPr>
              <w:drawing>
                <wp:inline distT="0" distB="0" distL="114300" distR="114300">
                  <wp:extent cx="1343025" cy="114300"/>
                  <wp:effectExtent l="0" t="0" r="9525" b="0"/>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pic:cNvPicPr>
                            <a:picLocks noChangeAspect="1"/>
                          </pic:cNvPicPr>
                        </pic:nvPicPr>
                        <pic:blipFill>
                          <a:blip r:embed="rId25"/>
                          <a:stretch>
                            <a:fillRect/>
                          </a:stretch>
                        </pic:blipFill>
                        <pic:spPr>
                          <a:xfrm>
                            <a:off x="0" y="0"/>
                            <a:ext cx="1343025" cy="114300"/>
                          </a:xfrm>
                          <a:prstGeom prst="rect">
                            <a:avLst/>
                          </a:prstGeom>
                          <a:noFill/>
                          <a:ln>
                            <a:noFill/>
                          </a:ln>
                        </pic:spPr>
                      </pic:pic>
                    </a:graphicData>
                  </a:graphic>
                </wp:inline>
              </w:drawing>
            </w:r>
            <w:r>
              <w:rPr>
                <w:highlight w:val="none"/>
              </w:rPr>
              <w:t>1.35%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64" w:type="dxa"/>
            <w:shd w:val="clear" w:color="auto" w:fill="FAFAFA"/>
            <w:vAlign w:val="center"/>
          </w:tcPr>
          <w:p>
            <w:pPr>
              <w:pageBreakBefore w:val="0"/>
              <w:kinsoku/>
              <w:wordWrap/>
              <w:bidi w:val="0"/>
              <w:spacing w:line="570" w:lineRule="exact"/>
              <w:jc w:val="both"/>
              <w:rPr>
                <w:highlight w:val="none"/>
              </w:rPr>
            </w:pPr>
            <w:r>
              <w:rPr>
                <w:highlight w:val="none"/>
              </w:rPr>
              <w:t>不满意</w:t>
            </w:r>
          </w:p>
        </w:tc>
        <w:tc>
          <w:tcPr>
            <w:tcW w:w="1490" w:type="dxa"/>
            <w:shd w:val="clear" w:color="auto" w:fill="FAFAFA"/>
            <w:vAlign w:val="center"/>
          </w:tcPr>
          <w:p>
            <w:pPr>
              <w:pageBreakBefore w:val="0"/>
              <w:kinsoku/>
              <w:wordWrap/>
              <w:bidi w:val="0"/>
              <w:spacing w:line="570" w:lineRule="exact"/>
              <w:jc w:val="both"/>
              <w:rPr>
                <w:highlight w:val="none"/>
              </w:rPr>
            </w:pPr>
            <w:r>
              <w:rPr>
                <w:highlight w:val="none"/>
              </w:rPr>
              <w:t>2</w:t>
            </w:r>
          </w:p>
        </w:tc>
        <w:tc>
          <w:tcPr>
            <w:tcW w:w="4206" w:type="dxa"/>
            <w:shd w:val="clear" w:color="auto" w:fill="FAFAFA"/>
            <w:vAlign w:val="center"/>
          </w:tcPr>
          <w:p>
            <w:pPr>
              <w:pageBreakBefore w:val="0"/>
              <w:kinsoku/>
              <w:wordWrap/>
              <w:bidi w:val="0"/>
              <w:spacing w:line="570" w:lineRule="exact"/>
              <w:jc w:val="both"/>
              <w:rPr>
                <w:highlight w:val="none"/>
              </w:rPr>
            </w:pPr>
            <w:r>
              <w:rPr>
                <w:highlight w:val="none"/>
              </w:rPr>
              <w:drawing>
                <wp:inline distT="0" distB="0" distL="114300" distR="114300">
                  <wp:extent cx="9525" cy="114300"/>
                  <wp:effectExtent l="0" t="0" r="9525" b="0"/>
                  <wp:docPr id="1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9"/>
                          <pic:cNvPicPr>
                            <a:picLocks noChangeAspect="1"/>
                          </pic:cNvPicPr>
                        </pic:nvPicPr>
                        <pic:blipFill>
                          <a:blip r:embed="rId24"/>
                          <a:stretch>
                            <a:fillRect/>
                          </a:stretch>
                        </pic:blipFill>
                        <pic:spPr>
                          <a:xfrm>
                            <a:off x="0" y="0"/>
                            <a:ext cx="9525" cy="114300"/>
                          </a:xfrm>
                          <a:prstGeom prst="rect">
                            <a:avLst/>
                          </a:prstGeom>
                          <a:noFill/>
                          <a:ln>
                            <a:noFill/>
                          </a:ln>
                        </pic:spPr>
                      </pic:pic>
                    </a:graphicData>
                  </a:graphic>
                </wp:inline>
              </w:drawing>
            </w:r>
            <w:r>
              <w:rPr>
                <w:highlight w:val="none"/>
              </w:rPr>
              <w:drawing>
                <wp:inline distT="0" distB="0" distL="114300" distR="114300">
                  <wp:extent cx="1343025" cy="114300"/>
                  <wp:effectExtent l="0" t="0" r="9525" b="0"/>
                  <wp:docPr id="1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pic:cNvPicPr>
                            <a:picLocks noChangeAspect="1"/>
                          </pic:cNvPicPr>
                        </pic:nvPicPr>
                        <pic:blipFill>
                          <a:blip r:embed="rId25"/>
                          <a:stretch>
                            <a:fillRect/>
                          </a:stretch>
                        </pic:blipFill>
                        <pic:spPr>
                          <a:xfrm>
                            <a:off x="0" y="0"/>
                            <a:ext cx="1343025" cy="114300"/>
                          </a:xfrm>
                          <a:prstGeom prst="rect">
                            <a:avLst/>
                          </a:prstGeom>
                          <a:noFill/>
                          <a:ln>
                            <a:noFill/>
                          </a:ln>
                        </pic:spPr>
                      </pic:pic>
                    </a:graphicData>
                  </a:graphic>
                </wp:inline>
              </w:drawing>
            </w:r>
            <w:r>
              <w:rPr>
                <w:highlight w:val="none"/>
              </w:rPr>
              <w:t>0.9%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3364" w:type="dxa"/>
            <w:shd w:val="clear" w:color="auto" w:fill="F5F5F5"/>
            <w:vAlign w:val="center"/>
          </w:tcPr>
          <w:p>
            <w:pPr>
              <w:pageBreakBefore w:val="0"/>
              <w:kinsoku/>
              <w:wordWrap/>
              <w:bidi w:val="0"/>
              <w:spacing w:line="570" w:lineRule="exact"/>
              <w:jc w:val="both"/>
              <w:rPr>
                <w:highlight w:val="none"/>
              </w:rPr>
            </w:pPr>
            <w:r>
              <w:rPr>
                <w:highlight w:val="none"/>
              </w:rPr>
              <w:t>本题有效填写人次</w:t>
            </w:r>
          </w:p>
        </w:tc>
        <w:tc>
          <w:tcPr>
            <w:tcW w:w="1490" w:type="dxa"/>
            <w:shd w:val="clear" w:color="auto" w:fill="F5F5F5"/>
            <w:vAlign w:val="center"/>
          </w:tcPr>
          <w:p>
            <w:pPr>
              <w:pageBreakBefore w:val="0"/>
              <w:kinsoku/>
              <w:wordWrap/>
              <w:bidi w:val="0"/>
              <w:spacing w:line="570" w:lineRule="exact"/>
              <w:jc w:val="both"/>
              <w:rPr>
                <w:highlight w:val="none"/>
              </w:rPr>
            </w:pPr>
            <w:r>
              <w:rPr>
                <w:highlight w:val="none"/>
              </w:rPr>
              <w:t>223</w:t>
            </w:r>
          </w:p>
        </w:tc>
        <w:tc>
          <w:tcPr>
            <w:tcW w:w="4206" w:type="dxa"/>
            <w:shd w:val="clear" w:color="auto" w:fill="F5F5F5"/>
            <w:vAlign w:val="center"/>
          </w:tcPr>
          <w:p>
            <w:pPr>
              <w:pageBreakBefore w:val="0"/>
              <w:kinsoku/>
              <w:wordWrap/>
              <w:bidi w:val="0"/>
              <w:spacing w:line="570" w:lineRule="exact"/>
              <w:jc w:val="both"/>
              <w:rPr>
                <w:highlight w:val="none"/>
              </w:rPr>
            </w:pPr>
          </w:p>
        </w:tc>
      </w:tr>
    </w:tbl>
    <w:p>
      <w:pPr>
        <w:pageBreakBefore w:val="0"/>
        <w:kinsoku/>
        <w:wordWrap/>
        <w:bidi w:val="0"/>
        <w:spacing w:line="570" w:lineRule="exact"/>
        <w:jc w:val="both"/>
        <w:rPr>
          <w:highlight w:val="none"/>
        </w:rPr>
      </w:pPr>
      <w:r>
        <w:rPr>
          <w:b w:val="0"/>
          <w:color w:val="000000"/>
          <w:sz w:val="24"/>
          <w:highlight w:val="none"/>
        </w:rPr>
        <w:t>第7题您对本项目会议什么意见或者建议</w:t>
      </w:r>
      <w:r>
        <w:rPr>
          <w:b w:val="0"/>
          <w:color w:val="0066FF"/>
          <w:sz w:val="24"/>
          <w:highlight w:val="none"/>
        </w:rPr>
        <w:t>[填空题]</w:t>
      </w:r>
    </w:p>
    <w:p>
      <w:pPr>
        <w:keepLines w:val="0"/>
        <w:pageBreakBefore w:val="0"/>
        <w:kinsoku/>
        <w:wordWrap/>
        <w:bidi w:val="0"/>
        <w:spacing w:line="570" w:lineRule="exact"/>
        <w:jc w:val="both"/>
        <w:rPr>
          <w:b w:val="0"/>
          <w:color w:val="0066FF"/>
          <w:sz w:val="24"/>
          <w:highlight w:val="none"/>
        </w:rPr>
      </w:pPr>
      <w:r>
        <w:rPr>
          <w:b w:val="0"/>
          <w:color w:val="666666"/>
          <w:sz w:val="24"/>
          <w:highlight w:val="none"/>
        </w:rPr>
        <w:t>填空题数据请通过下载详细数据获取</w:t>
      </w:r>
    </w:p>
    <w:p>
      <w:pPr>
        <w:pageBreakBefore w:val="0"/>
        <w:numPr>
          <w:ilvl w:val="0"/>
          <w:numId w:val="0"/>
        </w:numPr>
        <w:kinsoku/>
        <w:wordWrap/>
        <w:bidi w:val="0"/>
        <w:spacing w:line="570" w:lineRule="exact"/>
        <w:ind w:leftChars="0" w:firstLine="640" w:firstLineChars="200"/>
        <w:jc w:val="both"/>
        <w:rPr>
          <w:rFonts w:hint="eastAsia" w:ascii="方正仿宋_GBK" w:hAnsi="方正仿宋_GBK" w:eastAsia="方正仿宋_GBK" w:cs="方正仿宋_GBK"/>
          <w:color w:val="auto"/>
          <w:kern w:val="0"/>
          <w:sz w:val="32"/>
          <w:szCs w:val="32"/>
          <w:highlight w:val="none"/>
          <w:lang w:val="en-US" w:eastAsia="zh-CN" w:bidi="ar"/>
        </w:rPr>
      </w:pPr>
    </w:p>
    <w:p>
      <w:pPr>
        <w:pStyle w:val="2"/>
        <w:rPr>
          <w:rFonts w:hint="eastAsia" w:ascii="方正仿宋_GBK" w:hAnsi="方正仿宋_GBK" w:eastAsia="方正仿宋_GBK" w:cs="方正仿宋_GBK"/>
          <w:color w:val="auto"/>
          <w:kern w:val="0"/>
          <w:sz w:val="32"/>
          <w:szCs w:val="32"/>
          <w:highlight w:val="none"/>
          <w:lang w:val="en-US" w:eastAsia="zh-CN" w:bidi="ar"/>
        </w:rPr>
      </w:pPr>
    </w:p>
    <w:p>
      <w:pPr>
        <w:rPr>
          <w:rFonts w:hint="eastAsia" w:ascii="方正仿宋_GBK" w:hAnsi="方正仿宋_GBK" w:eastAsia="方正仿宋_GBK" w:cs="方正仿宋_GBK"/>
          <w:color w:val="auto"/>
          <w:kern w:val="0"/>
          <w:sz w:val="32"/>
          <w:szCs w:val="32"/>
          <w:highlight w:val="none"/>
          <w:lang w:val="en-US" w:eastAsia="zh-CN" w:bidi="ar"/>
        </w:rPr>
      </w:pPr>
    </w:p>
    <w:p>
      <w:pPr>
        <w:pStyle w:val="2"/>
        <w:rPr>
          <w:rFonts w:hint="eastAsia" w:ascii="方正仿宋_GBK" w:hAnsi="方正仿宋_GBK" w:eastAsia="方正仿宋_GBK" w:cs="方正仿宋_GBK"/>
          <w:color w:val="auto"/>
          <w:kern w:val="0"/>
          <w:sz w:val="32"/>
          <w:szCs w:val="32"/>
          <w:highlight w:val="none"/>
          <w:lang w:val="en-US" w:eastAsia="zh-CN" w:bidi="ar"/>
        </w:rPr>
      </w:pPr>
    </w:p>
    <w:p>
      <w:pPr>
        <w:rPr>
          <w:rFonts w:hint="eastAsia" w:ascii="方正仿宋_GBK" w:hAnsi="方正仿宋_GBK" w:eastAsia="方正仿宋_GBK" w:cs="方正仿宋_GBK"/>
          <w:color w:val="auto"/>
          <w:kern w:val="0"/>
          <w:sz w:val="32"/>
          <w:szCs w:val="32"/>
          <w:highlight w:val="none"/>
          <w:lang w:val="en-US" w:eastAsia="zh-CN" w:bidi="ar"/>
        </w:rPr>
      </w:pPr>
    </w:p>
    <w:p>
      <w:pPr>
        <w:pStyle w:val="3"/>
        <w:pageBreakBefore w:val="0"/>
        <w:kinsoku/>
        <w:wordWrap/>
        <w:bidi w:val="0"/>
        <w:spacing w:line="570" w:lineRule="exact"/>
        <w:jc w:val="both"/>
        <w:rPr>
          <w:rFonts w:hint="eastAsia" w:ascii="方正黑体_GBK" w:hAnsi="方正黑体_GBK" w:eastAsia="方正黑体_GBK" w:cs="方正黑体_GBK"/>
          <w:highlight w:val="none"/>
          <w:lang w:val="en-US" w:eastAsia="zh-CN"/>
        </w:rPr>
      </w:pPr>
      <w:bookmarkStart w:id="182" w:name="_Toc14030_WPSOffice_Level1"/>
      <w:r>
        <w:rPr>
          <w:rFonts w:hint="eastAsia" w:ascii="方正黑体_GBK" w:hAnsi="方正黑体_GBK" w:eastAsia="方正黑体_GBK" w:cs="方正黑体_GBK"/>
          <w:highlight w:val="none"/>
          <w:lang w:val="en-US" w:eastAsia="zh-CN"/>
        </w:rPr>
        <w:t>附件5现场照片</w:t>
      </w:r>
      <w:bookmarkEnd w:id="182"/>
    </w:p>
    <w:p>
      <w:pPr>
        <w:pStyle w:val="2"/>
        <w:rPr>
          <w:rFonts w:hint="eastAsia"/>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lang w:val="en-US" w:eastAsia="zh-CN"/>
        </w:rPr>
        <w:drawing>
          <wp:inline distT="0" distB="0" distL="114300" distR="114300">
            <wp:extent cx="5264785" cy="3950335"/>
            <wp:effectExtent l="0" t="0" r="12065" b="12065"/>
            <wp:docPr id="35" name="图片 35" descr="dfbe77d1b16377ae0f295cecb87e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fbe77d1b16377ae0f295cecb87eedf"/>
                    <pic:cNvPicPr>
                      <a:picLocks noChangeAspect="1"/>
                    </pic:cNvPicPr>
                  </pic:nvPicPr>
                  <pic:blipFill>
                    <a:blip r:embed="rId30"/>
                    <a:stretch>
                      <a:fillRect/>
                    </a:stretch>
                  </pic:blipFill>
                  <pic:spPr>
                    <a:xfrm>
                      <a:off x="0" y="0"/>
                      <a:ext cx="5264785" cy="3950335"/>
                    </a:xfrm>
                    <a:prstGeom prst="rect">
                      <a:avLst/>
                    </a:prstGeom>
                  </pic:spPr>
                </pic:pic>
              </a:graphicData>
            </a:graphic>
          </wp:inline>
        </w:drawing>
      </w:r>
      <w:r>
        <w:rPr>
          <w:rFonts w:hint="eastAsia"/>
          <w:lang w:val="en-US" w:eastAsia="zh-CN"/>
        </w:rPr>
        <w:drawing>
          <wp:inline distT="0" distB="0" distL="114300" distR="114300">
            <wp:extent cx="5273040" cy="3005455"/>
            <wp:effectExtent l="0" t="0" r="3810" b="4445"/>
            <wp:docPr id="3" name="图片 3" descr="cd9d4315d71393489b9396bcd2e7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9d4315d71393489b9396bcd2e70c3"/>
                    <pic:cNvPicPr>
                      <a:picLocks noChangeAspect="1"/>
                    </pic:cNvPicPr>
                  </pic:nvPicPr>
                  <pic:blipFill>
                    <a:blip r:embed="rId31"/>
                    <a:stretch>
                      <a:fillRect/>
                    </a:stretch>
                  </pic:blipFill>
                  <pic:spPr>
                    <a:xfrm>
                      <a:off x="0" y="0"/>
                      <a:ext cx="5273040" cy="3005455"/>
                    </a:xfrm>
                    <a:prstGeom prst="rect">
                      <a:avLst/>
                    </a:prstGeom>
                  </pic:spPr>
                </pic:pic>
              </a:graphicData>
            </a:graphic>
          </wp:inline>
        </w:drawing>
      </w:r>
    </w:p>
    <w:p>
      <w:pPr>
        <w:pStyle w:val="2"/>
        <w:rPr>
          <w:rFonts w:hint="eastAsia"/>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lang w:val="en-US" w:eastAsia="zh-CN"/>
        </w:rPr>
        <w:drawing>
          <wp:inline distT="0" distB="0" distL="114300" distR="114300">
            <wp:extent cx="5266690" cy="7019925"/>
            <wp:effectExtent l="0" t="0" r="10160" b="9525"/>
            <wp:docPr id="37" name="图片 37" descr="1bd3568b6529310399cc267043ed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bd3568b6529310399cc267043edfff"/>
                    <pic:cNvPicPr>
                      <a:picLocks noChangeAspect="1"/>
                    </pic:cNvPicPr>
                  </pic:nvPicPr>
                  <pic:blipFill>
                    <a:blip r:embed="rId32"/>
                    <a:stretch>
                      <a:fillRect/>
                    </a:stretch>
                  </pic:blipFill>
                  <pic:spPr>
                    <a:xfrm>
                      <a:off x="0" y="0"/>
                      <a:ext cx="5266690" cy="7019925"/>
                    </a:xfrm>
                    <a:prstGeom prst="rect">
                      <a:avLst/>
                    </a:prstGeom>
                  </pic:spPr>
                </pic:pic>
              </a:graphicData>
            </a:graphic>
          </wp:inline>
        </w:drawing>
      </w:r>
      <w:r>
        <w:rPr>
          <w:rFonts w:hint="eastAsia"/>
          <w:lang w:val="en-US" w:eastAsia="zh-CN"/>
        </w:rPr>
        <w:drawing>
          <wp:anchor distT="0" distB="0" distL="114300" distR="114300" simplePos="0" relativeHeight="251659264" behindDoc="1" locked="0" layoutInCell="1" allowOverlap="1">
            <wp:simplePos x="0" y="0"/>
            <wp:positionH relativeFrom="column">
              <wp:posOffset>-47625</wp:posOffset>
            </wp:positionH>
            <wp:positionV relativeFrom="paragraph">
              <wp:posOffset>4798695</wp:posOffset>
            </wp:positionV>
            <wp:extent cx="5272405" cy="3059430"/>
            <wp:effectExtent l="0" t="0" r="4445" b="7620"/>
            <wp:wrapTight wrapText="bothSides">
              <wp:wrapPolygon>
                <wp:start x="0" y="0"/>
                <wp:lineTo x="0" y="21519"/>
                <wp:lineTo x="21540" y="21519"/>
                <wp:lineTo x="21540" y="0"/>
                <wp:lineTo x="0" y="0"/>
              </wp:wrapPolygon>
            </wp:wrapTight>
            <wp:docPr id="39" name="图片 39" descr="1d72ab1dc8ad7b6b5c18d5bd7a2f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d72ab1dc8ad7b6b5c18d5bd7a2fe5a"/>
                    <pic:cNvPicPr>
                      <a:picLocks noChangeAspect="1"/>
                    </pic:cNvPicPr>
                  </pic:nvPicPr>
                  <pic:blipFill>
                    <a:blip r:embed="rId33"/>
                    <a:stretch>
                      <a:fillRect/>
                    </a:stretch>
                  </pic:blipFill>
                  <pic:spPr>
                    <a:xfrm>
                      <a:off x="0" y="0"/>
                      <a:ext cx="5272405" cy="3059430"/>
                    </a:xfrm>
                    <a:prstGeom prst="rect">
                      <a:avLst/>
                    </a:prstGeom>
                  </pic:spPr>
                </pic:pic>
              </a:graphicData>
            </a:graphic>
          </wp:anchor>
        </w:drawing>
      </w:r>
      <w:r>
        <w:rPr>
          <w:rFonts w:hint="eastAsia"/>
          <w:lang w:val="en-US" w:eastAsia="zh-CN"/>
        </w:rPr>
        <w:drawing>
          <wp:inline distT="0" distB="0" distL="114300" distR="114300">
            <wp:extent cx="5264785" cy="3950335"/>
            <wp:effectExtent l="0" t="0" r="12065" b="12065"/>
            <wp:docPr id="36" name="图片 36" descr="1b64f47e592a9f3f002800fa16ae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b64f47e592a9f3f002800fa16aef4b"/>
                    <pic:cNvPicPr>
                      <a:picLocks noChangeAspect="1"/>
                    </pic:cNvPicPr>
                  </pic:nvPicPr>
                  <pic:blipFill>
                    <a:blip r:embed="rId34"/>
                    <a:stretch>
                      <a:fillRect/>
                    </a:stretch>
                  </pic:blipFill>
                  <pic:spPr>
                    <a:xfrm>
                      <a:off x="0" y="0"/>
                      <a:ext cx="5264785" cy="3950335"/>
                    </a:xfrm>
                    <a:prstGeom prst="rect">
                      <a:avLst/>
                    </a:prstGeom>
                  </pic:spPr>
                </pic:pic>
              </a:graphicData>
            </a:graphic>
          </wp:inline>
        </w:drawing>
      </w:r>
    </w:p>
    <w:p>
      <w:pPr>
        <w:pStyle w:val="2"/>
        <w:rPr>
          <w:rFonts w:hint="eastAsia"/>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lang w:val="en-US" w:eastAsia="zh-CN"/>
        </w:rPr>
        <w:drawing>
          <wp:anchor distT="0" distB="0" distL="114300" distR="114300" simplePos="0" relativeHeight="251661312" behindDoc="1" locked="0" layoutInCell="1" allowOverlap="1">
            <wp:simplePos x="0" y="0"/>
            <wp:positionH relativeFrom="column">
              <wp:posOffset>-228600</wp:posOffset>
            </wp:positionH>
            <wp:positionV relativeFrom="paragraph">
              <wp:posOffset>565785</wp:posOffset>
            </wp:positionV>
            <wp:extent cx="5942330" cy="7838440"/>
            <wp:effectExtent l="0" t="0" r="0" b="10160"/>
            <wp:wrapTight wrapText="bothSides">
              <wp:wrapPolygon>
                <wp:start x="0" y="0"/>
                <wp:lineTo x="0" y="21523"/>
                <wp:lineTo x="21535" y="21523"/>
                <wp:lineTo x="21535" y="0"/>
                <wp:lineTo x="0" y="0"/>
              </wp:wrapPolygon>
            </wp:wrapTight>
            <wp:docPr id="42" name="图片 42" descr="e1ee6063d7ddd2994077cc988ed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1ee6063d7ddd2994077cc988ed4056"/>
                    <pic:cNvPicPr>
                      <a:picLocks noChangeAspect="1"/>
                    </pic:cNvPicPr>
                  </pic:nvPicPr>
                  <pic:blipFill>
                    <a:blip r:embed="rId35"/>
                    <a:stretch>
                      <a:fillRect/>
                    </a:stretch>
                  </pic:blipFill>
                  <pic:spPr>
                    <a:xfrm>
                      <a:off x="0" y="0"/>
                      <a:ext cx="5942330" cy="7838440"/>
                    </a:xfrm>
                    <a:prstGeom prst="rect">
                      <a:avLst/>
                    </a:prstGeom>
                  </pic:spPr>
                </pic:pic>
              </a:graphicData>
            </a:graphic>
          </wp:anchor>
        </w:drawing>
      </w:r>
    </w:p>
    <w:p>
      <w:pPr>
        <w:pStyle w:val="2"/>
        <w:rPr>
          <w:rFonts w:hint="eastAsia"/>
          <w:lang w:val="en-US" w:eastAsia="zh-CN"/>
        </w:rPr>
      </w:pPr>
      <w:r>
        <w:rPr>
          <w:rFonts w:hint="eastAsia"/>
          <w:lang w:val="en-US" w:eastAsia="zh-CN"/>
        </w:rPr>
        <w:drawing>
          <wp:anchor distT="0" distB="0" distL="114300" distR="114300" simplePos="0" relativeHeight="251660288" behindDoc="1" locked="0" layoutInCell="1" allowOverlap="1">
            <wp:simplePos x="0" y="0"/>
            <wp:positionH relativeFrom="column">
              <wp:posOffset>6985</wp:posOffset>
            </wp:positionH>
            <wp:positionV relativeFrom="paragraph">
              <wp:posOffset>4090035</wp:posOffset>
            </wp:positionV>
            <wp:extent cx="5269865" cy="4069080"/>
            <wp:effectExtent l="0" t="0" r="6985" b="7620"/>
            <wp:wrapTight wrapText="bothSides">
              <wp:wrapPolygon>
                <wp:start x="0" y="0"/>
                <wp:lineTo x="0" y="21539"/>
                <wp:lineTo x="21551" y="21539"/>
                <wp:lineTo x="21551" y="0"/>
                <wp:lineTo x="0" y="0"/>
              </wp:wrapPolygon>
            </wp:wrapTight>
            <wp:docPr id="40" name="图片 40" descr="2c3d1e744f5c2e088abbdfd83b64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c3d1e744f5c2e088abbdfd83b64e01"/>
                    <pic:cNvPicPr>
                      <a:picLocks noChangeAspect="1"/>
                    </pic:cNvPicPr>
                  </pic:nvPicPr>
                  <pic:blipFill>
                    <a:blip r:embed="rId36"/>
                    <a:stretch>
                      <a:fillRect/>
                    </a:stretch>
                  </pic:blipFill>
                  <pic:spPr>
                    <a:xfrm>
                      <a:off x="0" y="0"/>
                      <a:ext cx="5269865" cy="4069080"/>
                    </a:xfrm>
                    <a:prstGeom prst="rect">
                      <a:avLst/>
                    </a:prstGeom>
                  </pic:spPr>
                </pic:pic>
              </a:graphicData>
            </a:graphic>
          </wp:anchor>
        </w:drawing>
      </w:r>
      <w:r>
        <w:rPr>
          <w:rFonts w:hint="eastAsia"/>
          <w:lang w:val="en-US" w:eastAsia="zh-CN"/>
        </w:rPr>
        <w:drawing>
          <wp:inline distT="0" distB="0" distL="114300" distR="114300">
            <wp:extent cx="5269230" cy="3628390"/>
            <wp:effectExtent l="0" t="0" r="7620" b="10160"/>
            <wp:docPr id="41" name="图片 41" descr="ab993cf671ad08114e7be7a7561b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b993cf671ad08114e7be7a7561b9c7"/>
                    <pic:cNvPicPr>
                      <a:picLocks noChangeAspect="1"/>
                    </pic:cNvPicPr>
                  </pic:nvPicPr>
                  <pic:blipFill>
                    <a:blip r:embed="rId37"/>
                    <a:stretch>
                      <a:fillRect/>
                    </a:stretch>
                  </pic:blipFill>
                  <pic:spPr>
                    <a:xfrm>
                      <a:off x="0" y="0"/>
                      <a:ext cx="5269230" cy="3628390"/>
                    </a:xfrm>
                    <a:prstGeom prst="rect">
                      <a:avLst/>
                    </a:prstGeom>
                  </pic:spPr>
                </pic:pic>
              </a:graphicData>
            </a:graphic>
          </wp:inline>
        </w:drawing>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D3935C2-7FF6-4559-AED0-A0E51AE73E5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7260A310-3793-472C-858E-307BF2BD37F9}"/>
  </w:font>
  <w:font w:name="仿宋">
    <w:panose1 w:val="02010609060101010101"/>
    <w:charset w:val="86"/>
    <w:family w:val="auto"/>
    <w:pitch w:val="default"/>
    <w:sig w:usb0="800002BF" w:usb1="38CF7CFA" w:usb2="00000016" w:usb3="00000000" w:csb0="00040001" w:csb1="00000000"/>
    <w:embedRegular r:id="rId3" w:fontKey="{12645367-26CE-4837-9B34-EF4DD49E912E}"/>
  </w:font>
  <w:font w:name="HYb2gj">
    <w:altName w:val="宋体"/>
    <w:panose1 w:val="00000000000000000000"/>
    <w:charset w:val="86"/>
    <w:family w:val="modern"/>
    <w:pitch w:val="default"/>
    <w:sig w:usb0="00000000" w:usb1="00000000" w:usb2="00000010" w:usb3="00000000" w:csb0="00040000" w:csb1="00000000"/>
  </w:font>
  <w:font w:name="方正小标宋_GBK">
    <w:panose1 w:val="03000509000000000000"/>
    <w:charset w:val="86"/>
    <w:family w:val="auto"/>
    <w:pitch w:val="default"/>
    <w:sig w:usb0="00000001" w:usb1="080E0000" w:usb2="00000000" w:usb3="00000000" w:csb0="00040000" w:csb1="00000000"/>
    <w:embedRegular r:id="rId4" w:fontKey="{8FFF7961-9E88-42D7-BDF2-215161001C83}"/>
  </w:font>
  <w:font w:name="方正黑体_GBK">
    <w:panose1 w:val="03000509000000000000"/>
    <w:charset w:val="86"/>
    <w:family w:val="auto"/>
    <w:pitch w:val="default"/>
    <w:sig w:usb0="00000001" w:usb1="080E0000" w:usb2="00000000" w:usb3="00000000" w:csb0="00040000" w:csb1="00000000"/>
    <w:embedRegular r:id="rId5" w:fontKey="{96D5A689-F956-4743-ABF8-9355AA766B51}"/>
  </w:font>
  <w:font w:name="方正楷体_GBK">
    <w:panose1 w:val="03000509000000000000"/>
    <w:charset w:val="86"/>
    <w:family w:val="auto"/>
    <w:pitch w:val="default"/>
    <w:sig w:usb0="00000001" w:usb1="080E0000" w:usb2="00000000" w:usb3="00000000" w:csb0="00040000" w:csb1="00000000"/>
    <w:embedRegular r:id="rId6" w:fontKey="{B3AC0C4E-734E-4E18-8D24-B56695DD1866}"/>
  </w:font>
  <w:font w:name="方正仿宋_GBK">
    <w:panose1 w:val="03000509000000000000"/>
    <w:charset w:val="86"/>
    <w:family w:val="script"/>
    <w:pitch w:val="default"/>
    <w:sig w:usb0="00000001" w:usb1="080E0000" w:usb2="00000000" w:usb3="00000000" w:csb0="00040000" w:csb1="00000000"/>
    <w:embedRegular r:id="rId7" w:fontKey="{6CDB2E9A-6D5D-4A5E-A9F1-2DE36C363948}"/>
  </w:font>
  <w:font w:name="楷体">
    <w:panose1 w:val="02010609060101010101"/>
    <w:charset w:val="86"/>
    <w:family w:val="auto"/>
    <w:pitch w:val="default"/>
    <w:sig w:usb0="800002BF" w:usb1="38CF7CFA" w:usb2="00000016" w:usb3="00000000" w:csb0="00040001" w:csb1="00000000"/>
    <w:embedRegular r:id="rId8" w:fontKey="{FBE7A645-884F-40A8-984B-CEFDC24F93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JBwgVAgAAFQ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l1RopnCjk7fv51+/Dr9/EqgA0Ct9TP4bSw8Q/fWdFj0oPdQxrm7&#10;yql4YyICO6A+XuAVXSA8Bk0n02kOE4dteCB/9hhunQ/vhFEkCgV12F+ClR3WPvSug0usps2qkTLt&#10;UGrSFvT6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AJBwg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acus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6i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acus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FFC3D4"/>
    <w:multiLevelType w:val="singleLevel"/>
    <w:tmpl w:val="A8FFC3D4"/>
    <w:lvl w:ilvl="0" w:tentative="0">
      <w:start w:val="2"/>
      <w:numFmt w:val="chineseCounting"/>
      <w:suff w:val="nothing"/>
      <w:lvlText w:val="（%1）"/>
      <w:lvlJc w:val="left"/>
      <w:rPr>
        <w:rFonts w:hint="eastAsia"/>
      </w:rPr>
    </w:lvl>
  </w:abstractNum>
  <w:abstractNum w:abstractNumId="1">
    <w:nsid w:val="D631050B"/>
    <w:multiLevelType w:val="singleLevel"/>
    <w:tmpl w:val="D631050B"/>
    <w:lvl w:ilvl="0" w:tentative="0">
      <w:start w:val="5"/>
      <w:numFmt w:val="chineseCounting"/>
      <w:suff w:val="nothing"/>
      <w:lvlText w:val="%1、"/>
      <w:lvlJc w:val="left"/>
      <w:rPr>
        <w:rFonts w:hint="eastAsia"/>
      </w:rPr>
    </w:lvl>
  </w:abstractNum>
  <w:abstractNum w:abstractNumId="2">
    <w:nsid w:val="2F0B3EFB"/>
    <w:multiLevelType w:val="singleLevel"/>
    <w:tmpl w:val="2F0B3EFB"/>
    <w:lvl w:ilvl="0" w:tentative="0">
      <w:start w:val="1"/>
      <w:numFmt w:val="decimal"/>
      <w:suff w:val="nothing"/>
      <w:lvlText w:val="（%1）"/>
      <w:lvlJc w:val="left"/>
    </w:lvl>
  </w:abstractNum>
  <w:abstractNum w:abstractNumId="3">
    <w:nsid w:val="32C8724D"/>
    <w:multiLevelType w:val="singleLevel"/>
    <w:tmpl w:val="32C8724D"/>
    <w:lvl w:ilvl="0" w:tentative="0">
      <w:start w:val="1"/>
      <w:numFmt w:val="decimal"/>
      <w:pStyle w:val="13"/>
      <w:lvlText w:val="%1."/>
      <w:lvlJc w:val="left"/>
      <w:pPr>
        <w:tabs>
          <w:tab w:val="left" w:pos="2040"/>
        </w:tabs>
        <w:ind w:left="2040" w:hanging="360"/>
      </w:pPr>
    </w:lvl>
  </w:abstractNum>
  <w:abstractNum w:abstractNumId="4">
    <w:nsid w:val="339AD31E"/>
    <w:multiLevelType w:val="singleLevel"/>
    <w:tmpl w:val="339AD31E"/>
    <w:lvl w:ilvl="0" w:tentative="0">
      <w:start w:val="4"/>
      <w:numFmt w:val="decimal"/>
      <w:suff w:val="nothing"/>
      <w:lvlText w:val="（%1）"/>
      <w:lvlJc w:val="left"/>
    </w:lvl>
  </w:abstractNum>
  <w:abstractNum w:abstractNumId="5">
    <w:nsid w:val="71D1758D"/>
    <w:multiLevelType w:val="singleLevel"/>
    <w:tmpl w:val="71D1758D"/>
    <w:lvl w:ilvl="0" w:tentative="0">
      <w:start w:val="1"/>
      <w:numFmt w:val="chineseCounting"/>
      <w:suff w:val="nothing"/>
      <w:lvlText w:val="%1、"/>
      <w:lvlJc w:val="left"/>
      <w:rPr>
        <w:rFonts w:hint="eastAsia"/>
      </w:r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3ZWE1ZWEwMGYzYjg5MzkxZDdjM2JkZjk3ODEyNjgifQ=="/>
  </w:docVars>
  <w:rsids>
    <w:rsidRoot w:val="00172A27"/>
    <w:rsid w:val="004739B6"/>
    <w:rsid w:val="018971F9"/>
    <w:rsid w:val="019604A9"/>
    <w:rsid w:val="01B1635E"/>
    <w:rsid w:val="01E12A5F"/>
    <w:rsid w:val="02105DD0"/>
    <w:rsid w:val="034C027D"/>
    <w:rsid w:val="037D203F"/>
    <w:rsid w:val="03EC1ED0"/>
    <w:rsid w:val="04697669"/>
    <w:rsid w:val="0497716C"/>
    <w:rsid w:val="05126C52"/>
    <w:rsid w:val="051C7470"/>
    <w:rsid w:val="0576425F"/>
    <w:rsid w:val="05845D74"/>
    <w:rsid w:val="064C7098"/>
    <w:rsid w:val="06860E2D"/>
    <w:rsid w:val="07115897"/>
    <w:rsid w:val="07A51383"/>
    <w:rsid w:val="07E9683B"/>
    <w:rsid w:val="082B75D2"/>
    <w:rsid w:val="08617F07"/>
    <w:rsid w:val="08FF6B9F"/>
    <w:rsid w:val="09007992"/>
    <w:rsid w:val="09072722"/>
    <w:rsid w:val="09894403"/>
    <w:rsid w:val="09DD5BCA"/>
    <w:rsid w:val="09DD7A56"/>
    <w:rsid w:val="09F62D0F"/>
    <w:rsid w:val="09F86A1B"/>
    <w:rsid w:val="0A6F724A"/>
    <w:rsid w:val="0A77626D"/>
    <w:rsid w:val="0B794DEB"/>
    <w:rsid w:val="0C1D653F"/>
    <w:rsid w:val="0C470608"/>
    <w:rsid w:val="0CA041F5"/>
    <w:rsid w:val="0CD27009"/>
    <w:rsid w:val="0D94766D"/>
    <w:rsid w:val="0EE84B04"/>
    <w:rsid w:val="0F1F345E"/>
    <w:rsid w:val="0F3F6B4B"/>
    <w:rsid w:val="100A495A"/>
    <w:rsid w:val="103709CC"/>
    <w:rsid w:val="107839AB"/>
    <w:rsid w:val="11C45BCC"/>
    <w:rsid w:val="12553129"/>
    <w:rsid w:val="127C2BBA"/>
    <w:rsid w:val="128C7C90"/>
    <w:rsid w:val="12A37117"/>
    <w:rsid w:val="1353445D"/>
    <w:rsid w:val="13C5449C"/>
    <w:rsid w:val="14B65DF6"/>
    <w:rsid w:val="14C568B8"/>
    <w:rsid w:val="171D4B8D"/>
    <w:rsid w:val="1A703458"/>
    <w:rsid w:val="1A9133CF"/>
    <w:rsid w:val="1AE30CCA"/>
    <w:rsid w:val="1B7900EB"/>
    <w:rsid w:val="1C1E47A0"/>
    <w:rsid w:val="1C6428FD"/>
    <w:rsid w:val="1C671483"/>
    <w:rsid w:val="1C7C6242"/>
    <w:rsid w:val="1CA60A71"/>
    <w:rsid w:val="1CEA58E9"/>
    <w:rsid w:val="1D615FC2"/>
    <w:rsid w:val="1DF17B8B"/>
    <w:rsid w:val="1E1F6731"/>
    <w:rsid w:val="1EAF0CF0"/>
    <w:rsid w:val="1F683897"/>
    <w:rsid w:val="1F701025"/>
    <w:rsid w:val="1FCF771E"/>
    <w:rsid w:val="21190D8E"/>
    <w:rsid w:val="219E6B57"/>
    <w:rsid w:val="227B4067"/>
    <w:rsid w:val="239A7550"/>
    <w:rsid w:val="23A428ED"/>
    <w:rsid w:val="23D9697F"/>
    <w:rsid w:val="24832D9A"/>
    <w:rsid w:val="249308D3"/>
    <w:rsid w:val="255A2E97"/>
    <w:rsid w:val="26DC1351"/>
    <w:rsid w:val="276E3152"/>
    <w:rsid w:val="281356E7"/>
    <w:rsid w:val="286E4D4F"/>
    <w:rsid w:val="2943712C"/>
    <w:rsid w:val="296E6C97"/>
    <w:rsid w:val="298C5621"/>
    <w:rsid w:val="29BA38F7"/>
    <w:rsid w:val="2A79404F"/>
    <w:rsid w:val="2A7D3D20"/>
    <w:rsid w:val="2BC5555A"/>
    <w:rsid w:val="2CA60F5C"/>
    <w:rsid w:val="2CD144EF"/>
    <w:rsid w:val="2D987656"/>
    <w:rsid w:val="2DBD11B4"/>
    <w:rsid w:val="2E6363A1"/>
    <w:rsid w:val="2F20548C"/>
    <w:rsid w:val="2F4A40F5"/>
    <w:rsid w:val="2FC427BB"/>
    <w:rsid w:val="2FD0017D"/>
    <w:rsid w:val="2FE154A9"/>
    <w:rsid w:val="30094F16"/>
    <w:rsid w:val="304E4FB8"/>
    <w:rsid w:val="309F1652"/>
    <w:rsid w:val="30BD1143"/>
    <w:rsid w:val="311A4F35"/>
    <w:rsid w:val="31280191"/>
    <w:rsid w:val="316A07AA"/>
    <w:rsid w:val="317A2AE0"/>
    <w:rsid w:val="31A30546"/>
    <w:rsid w:val="31EF7A2D"/>
    <w:rsid w:val="32EB793F"/>
    <w:rsid w:val="354A474A"/>
    <w:rsid w:val="35815267"/>
    <w:rsid w:val="35A46CE4"/>
    <w:rsid w:val="35CF2253"/>
    <w:rsid w:val="374E34D8"/>
    <w:rsid w:val="38573267"/>
    <w:rsid w:val="38724686"/>
    <w:rsid w:val="389C3213"/>
    <w:rsid w:val="39736669"/>
    <w:rsid w:val="39774345"/>
    <w:rsid w:val="39C45477"/>
    <w:rsid w:val="3A5A7F82"/>
    <w:rsid w:val="3B441508"/>
    <w:rsid w:val="3B4B09AE"/>
    <w:rsid w:val="3BF73673"/>
    <w:rsid w:val="3C544530"/>
    <w:rsid w:val="3D54314F"/>
    <w:rsid w:val="3EB22C6F"/>
    <w:rsid w:val="3F4809DF"/>
    <w:rsid w:val="3F8C0B13"/>
    <w:rsid w:val="409C7E4E"/>
    <w:rsid w:val="40E64936"/>
    <w:rsid w:val="41934137"/>
    <w:rsid w:val="42666D6B"/>
    <w:rsid w:val="42CA005B"/>
    <w:rsid w:val="4312001C"/>
    <w:rsid w:val="431E4B47"/>
    <w:rsid w:val="436A015C"/>
    <w:rsid w:val="439B06CC"/>
    <w:rsid w:val="43C95ABA"/>
    <w:rsid w:val="448B7E1B"/>
    <w:rsid w:val="44EA1BCF"/>
    <w:rsid w:val="450C36AC"/>
    <w:rsid w:val="4513400B"/>
    <w:rsid w:val="464313FC"/>
    <w:rsid w:val="46F7053E"/>
    <w:rsid w:val="486D56A3"/>
    <w:rsid w:val="4A66345E"/>
    <w:rsid w:val="4A944660"/>
    <w:rsid w:val="4A972E27"/>
    <w:rsid w:val="4AB45BDF"/>
    <w:rsid w:val="4AD37158"/>
    <w:rsid w:val="4C39104D"/>
    <w:rsid w:val="4CAF729B"/>
    <w:rsid w:val="4DF16BAB"/>
    <w:rsid w:val="4DF44AA6"/>
    <w:rsid w:val="4E3C1CBD"/>
    <w:rsid w:val="4E6E6842"/>
    <w:rsid w:val="4F795AEE"/>
    <w:rsid w:val="4F851D30"/>
    <w:rsid w:val="4FE2757C"/>
    <w:rsid w:val="501133AF"/>
    <w:rsid w:val="50622AA9"/>
    <w:rsid w:val="50871574"/>
    <w:rsid w:val="52863CDD"/>
    <w:rsid w:val="531E2D4A"/>
    <w:rsid w:val="535F0CB7"/>
    <w:rsid w:val="54C1288E"/>
    <w:rsid w:val="54E166E9"/>
    <w:rsid w:val="556F09A2"/>
    <w:rsid w:val="56976399"/>
    <w:rsid w:val="56D52A9E"/>
    <w:rsid w:val="56EC06F1"/>
    <w:rsid w:val="57FF7E64"/>
    <w:rsid w:val="59BC6303"/>
    <w:rsid w:val="59D50BC3"/>
    <w:rsid w:val="59FC1797"/>
    <w:rsid w:val="5A740E30"/>
    <w:rsid w:val="5B637E94"/>
    <w:rsid w:val="5BA2015F"/>
    <w:rsid w:val="5C5A3793"/>
    <w:rsid w:val="5C857CA0"/>
    <w:rsid w:val="5CCF7164"/>
    <w:rsid w:val="5CE1273B"/>
    <w:rsid w:val="5D3D2E2D"/>
    <w:rsid w:val="5D663ED8"/>
    <w:rsid w:val="5DDC5CDC"/>
    <w:rsid w:val="5E451AD3"/>
    <w:rsid w:val="5F706419"/>
    <w:rsid w:val="5FA36AB1"/>
    <w:rsid w:val="5FB06136"/>
    <w:rsid w:val="5FC41708"/>
    <w:rsid w:val="5FF8078A"/>
    <w:rsid w:val="60174EAD"/>
    <w:rsid w:val="608713F5"/>
    <w:rsid w:val="613D7BF8"/>
    <w:rsid w:val="61AC71D0"/>
    <w:rsid w:val="61AE61F2"/>
    <w:rsid w:val="62354E89"/>
    <w:rsid w:val="62670B7A"/>
    <w:rsid w:val="628F2AF9"/>
    <w:rsid w:val="632E6FDA"/>
    <w:rsid w:val="638135AD"/>
    <w:rsid w:val="63EC61E4"/>
    <w:rsid w:val="642E6327"/>
    <w:rsid w:val="64A26866"/>
    <w:rsid w:val="64A67492"/>
    <w:rsid w:val="64CC6AAA"/>
    <w:rsid w:val="64CE4C7D"/>
    <w:rsid w:val="65232E58"/>
    <w:rsid w:val="659B507F"/>
    <w:rsid w:val="65C235A5"/>
    <w:rsid w:val="665A0B05"/>
    <w:rsid w:val="681151A9"/>
    <w:rsid w:val="68371CC6"/>
    <w:rsid w:val="687D1C6F"/>
    <w:rsid w:val="68900DED"/>
    <w:rsid w:val="68AB76D6"/>
    <w:rsid w:val="68EB3CD4"/>
    <w:rsid w:val="6A1144D9"/>
    <w:rsid w:val="6A177281"/>
    <w:rsid w:val="6A5E7CF2"/>
    <w:rsid w:val="6A697918"/>
    <w:rsid w:val="6A86281F"/>
    <w:rsid w:val="6AFF53AE"/>
    <w:rsid w:val="6B3A3351"/>
    <w:rsid w:val="6B3C7DBA"/>
    <w:rsid w:val="6BAF473A"/>
    <w:rsid w:val="6CD6035F"/>
    <w:rsid w:val="6D0B2534"/>
    <w:rsid w:val="6D0F0243"/>
    <w:rsid w:val="6DAA1953"/>
    <w:rsid w:val="6DC45DAC"/>
    <w:rsid w:val="6DD17BD1"/>
    <w:rsid w:val="6E1319A6"/>
    <w:rsid w:val="6E9744BA"/>
    <w:rsid w:val="6EF17CB2"/>
    <w:rsid w:val="6F5B0CFE"/>
    <w:rsid w:val="6FE77BC4"/>
    <w:rsid w:val="704B6AD9"/>
    <w:rsid w:val="710C2145"/>
    <w:rsid w:val="7175499B"/>
    <w:rsid w:val="72D85B46"/>
    <w:rsid w:val="734D6515"/>
    <w:rsid w:val="73CE11CF"/>
    <w:rsid w:val="73EA229D"/>
    <w:rsid w:val="74EA2DFC"/>
    <w:rsid w:val="75276396"/>
    <w:rsid w:val="76C278A3"/>
    <w:rsid w:val="77AC4850"/>
    <w:rsid w:val="77E97F04"/>
    <w:rsid w:val="780E64E4"/>
    <w:rsid w:val="79EE638C"/>
    <w:rsid w:val="7B20215D"/>
    <w:rsid w:val="7C127041"/>
    <w:rsid w:val="7C733C82"/>
    <w:rsid w:val="7D2D661D"/>
    <w:rsid w:val="7D743443"/>
    <w:rsid w:val="7E2A4E16"/>
    <w:rsid w:val="7F8F537B"/>
    <w:rsid w:val="7F9E5E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left"/>
    </w:pPr>
    <w:rPr>
      <w:rFonts w:ascii="Calibri" w:hAnsi="Calibri" w:eastAsia="宋体" w:cs="Times New Roman"/>
      <w:kern w:val="0"/>
      <w:sz w:val="24"/>
      <w:szCs w:val="24"/>
      <w:lang w:val="en-US" w:eastAsia="zh-CN" w:bidi="ar"/>
    </w:rPr>
  </w:style>
  <w:style w:type="paragraph" w:styleId="3">
    <w:name w:val="heading 1"/>
    <w:basedOn w:val="1"/>
    <w:next w:val="1"/>
    <w:qFormat/>
    <w:uiPriority w:val="9"/>
    <w:pPr>
      <w:keepNext/>
      <w:keepLines/>
      <w:spacing w:before="340" w:after="330" w:line="578" w:lineRule="auto"/>
      <w:jc w:val="left"/>
      <w:outlineLvl w:val="0"/>
    </w:pPr>
    <w:rPr>
      <w:rFonts w:ascii="Times New Roman" w:hAnsi="Times New Roman" w:cs="Times New Roman"/>
      <w:b/>
      <w:bCs/>
      <w:kern w:val="44"/>
      <w:sz w:val="32"/>
      <w:szCs w:val="44"/>
    </w:rPr>
  </w:style>
  <w:style w:type="paragraph" w:styleId="4">
    <w:name w:val="heading 2"/>
    <w:basedOn w:val="1"/>
    <w:next w:val="1"/>
    <w:qFormat/>
    <w:uiPriority w:val="0"/>
    <w:pPr>
      <w:keepNext/>
      <w:keepLines/>
      <w:spacing w:before="260" w:after="260" w:line="415" w:lineRule="auto"/>
      <w:ind w:firstLine="200"/>
      <w:jc w:val="left"/>
      <w:outlineLvl w:val="1"/>
    </w:pPr>
    <w:rPr>
      <w:rFonts w:ascii="Cambria" w:hAnsi="Cambria" w:cs="Times New Roman"/>
      <w:b/>
      <w:bCs/>
      <w:kern w:val="0"/>
      <w:sz w:val="30"/>
      <w:szCs w:val="32"/>
    </w:rPr>
  </w:style>
  <w:style w:type="paragraph" w:styleId="2">
    <w:name w:val="heading 3"/>
    <w:basedOn w:val="1"/>
    <w:next w:val="1"/>
    <w:qFormat/>
    <w:uiPriority w:val="0"/>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22">
    <w:name w:val="Default Paragraph Font"/>
    <w:semiHidden/>
    <w:qFormat/>
    <w:uiPriority w:val="0"/>
  </w:style>
  <w:style w:type="table" w:default="1" w:styleId="21">
    <w:name w:val="Normal Table"/>
    <w:semiHidden/>
    <w:qFormat/>
    <w:uiPriority w:val="0"/>
    <w:tblPr>
      <w:tblLayout w:type="fixed"/>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index 6"/>
    <w:basedOn w:val="1"/>
    <w:next w:val="1"/>
    <w:qFormat/>
    <w:uiPriority w:val="0"/>
    <w:pPr>
      <w:ind w:left="1000" w:leftChars="1000"/>
    </w:pPr>
    <w:rPr>
      <w:rFonts w:hint="eastAsia"/>
    </w:rPr>
  </w:style>
  <w:style w:type="paragraph" w:styleId="8">
    <w:name w:val="Body Text"/>
    <w:basedOn w:val="1"/>
    <w:qFormat/>
    <w:uiPriority w:val="0"/>
    <w:pPr>
      <w:spacing w:before="240" w:after="240" w:line="360" w:lineRule="auto"/>
      <w:jc w:val="center"/>
    </w:pPr>
    <w:rPr>
      <w:b/>
      <w:sz w:val="44"/>
    </w:rPr>
  </w:style>
  <w:style w:type="paragraph" w:styleId="9">
    <w:name w:val="Body Text Indent"/>
    <w:basedOn w:val="1"/>
    <w:unhideWhenUsed/>
    <w:qFormat/>
    <w:uiPriority w:val="99"/>
    <w:pPr>
      <w:spacing w:after="120"/>
      <w:ind w:left="420" w:leftChars="200"/>
    </w:pPr>
    <w:rPr>
      <w:rFonts w:cs="Times New Roman"/>
      <w:kern w:val="0"/>
      <w:szCs w:val="20"/>
    </w:rPr>
  </w:style>
  <w:style w:type="paragraph" w:styleId="10">
    <w:name w:val="Block Text"/>
    <w:basedOn w:val="1"/>
    <w:qFormat/>
    <w:uiPriority w:val="0"/>
    <w:pPr>
      <w:spacing w:after="120" w:afterLines="0" w:afterAutospacing="0"/>
      <w:ind w:left="1440" w:leftChars="700" w:rightChars="700"/>
    </w:pPr>
  </w:style>
  <w:style w:type="paragraph" w:styleId="11">
    <w:name w:val="toc 3"/>
    <w:basedOn w:val="1"/>
    <w:next w:val="1"/>
    <w:qFormat/>
    <w:uiPriority w:val="0"/>
    <w:pPr>
      <w:ind w:left="840" w:leftChars="400"/>
    </w:pPr>
  </w:style>
  <w:style w:type="paragraph" w:styleId="12">
    <w:name w:val="Plain Text"/>
    <w:basedOn w:val="1"/>
    <w:next w:val="13"/>
    <w:unhideWhenUsed/>
    <w:qFormat/>
    <w:uiPriority w:val="0"/>
    <w:rPr>
      <w:rFonts w:ascii="宋体" w:hAnsi="Courier New" w:eastAsia="宋体" w:cs="Courier New"/>
      <w:szCs w:val="21"/>
    </w:rPr>
  </w:style>
  <w:style w:type="paragraph" w:styleId="13">
    <w:name w:val="List Number 5"/>
    <w:basedOn w:val="1"/>
    <w:qFormat/>
    <w:uiPriority w:val="0"/>
    <w:pPr>
      <w:numPr>
        <w:ilvl w:val="0"/>
        <w:numId w:val="1"/>
      </w:numPr>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footnote text"/>
    <w:basedOn w:val="1"/>
    <w:qFormat/>
    <w:uiPriority w:val="0"/>
    <w:pPr>
      <w:snapToGrid w:val="0"/>
      <w:jc w:val="left"/>
    </w:pPr>
    <w:rPr>
      <w:sz w:val="18"/>
    </w:rPr>
  </w:style>
  <w:style w:type="paragraph" w:styleId="18">
    <w:name w:val="toc 2"/>
    <w:basedOn w:val="1"/>
    <w:next w:val="1"/>
    <w:qFormat/>
    <w:uiPriority w:val="0"/>
    <w:pPr>
      <w:ind w:left="420" w:leftChars="200"/>
    </w:pPr>
  </w:style>
  <w:style w:type="paragraph" w:styleId="19">
    <w:name w:val="Title"/>
    <w:basedOn w:val="1"/>
    <w:next w:val="1"/>
    <w:qFormat/>
    <w:uiPriority w:val="10"/>
    <w:pPr>
      <w:widowControl/>
      <w:spacing w:before="240" w:after="60"/>
      <w:jc w:val="center"/>
      <w:outlineLvl w:val="0"/>
    </w:pPr>
    <w:rPr>
      <w:rFonts w:ascii="Calibri Light" w:hAnsi="Calibri Light" w:eastAsia="宋体"/>
      <w:b/>
      <w:bCs/>
      <w:kern w:val="28"/>
      <w:sz w:val="32"/>
      <w:szCs w:val="32"/>
    </w:rPr>
  </w:style>
  <w:style w:type="paragraph" w:styleId="20">
    <w:name w:val="Body Text First Indent 2"/>
    <w:basedOn w:val="9"/>
    <w:next w:val="12"/>
    <w:unhideWhenUsed/>
    <w:qFormat/>
    <w:uiPriority w:val="0"/>
    <w:pPr>
      <w:ind w:firstLine="420"/>
    </w:pPr>
  </w:style>
  <w:style w:type="character" w:styleId="23">
    <w:name w:val="Strong"/>
    <w:basedOn w:val="22"/>
    <w:qFormat/>
    <w:uiPriority w:val="0"/>
    <w:rPr>
      <w:b/>
      <w:bCs/>
    </w:rPr>
  </w:style>
  <w:style w:type="paragraph" w:customStyle="1" w:styleId="24">
    <w:name w:val="BodyText1I2"/>
    <w:basedOn w:val="25"/>
    <w:qFormat/>
    <w:uiPriority w:val="0"/>
    <w:pPr>
      <w:spacing w:after="120" w:line="240" w:lineRule="auto"/>
      <w:ind w:left="420" w:leftChars="200" w:firstLine="420" w:firstLineChars="200"/>
      <w:jc w:val="both"/>
      <w:textAlignment w:val="baseline"/>
    </w:pPr>
  </w:style>
  <w:style w:type="paragraph" w:customStyle="1" w:styleId="25">
    <w:name w:val="BodyTextIndent"/>
    <w:basedOn w:val="1"/>
    <w:qFormat/>
    <w:uiPriority w:val="0"/>
    <w:pPr>
      <w:spacing w:after="120" w:line="240" w:lineRule="auto"/>
      <w:ind w:left="420" w:leftChars="200"/>
      <w:jc w:val="both"/>
      <w:textAlignment w:val="baseline"/>
    </w:pPr>
  </w:style>
  <w:style w:type="character" w:customStyle="1" w:styleId="26">
    <w:name w:val="NormalCharacter"/>
    <w:link w:val="27"/>
    <w:semiHidden/>
    <w:qFormat/>
    <w:uiPriority w:val="0"/>
    <w:rPr>
      <w:rFonts w:eastAsia="宋体"/>
      <w:kern w:val="2"/>
      <w:sz w:val="21"/>
      <w:szCs w:val="24"/>
      <w:lang w:val="en-US" w:eastAsia="zh-CN"/>
    </w:rPr>
  </w:style>
  <w:style w:type="paragraph" w:customStyle="1" w:styleId="27">
    <w:name w:val="UserStyle_10"/>
    <w:basedOn w:val="1"/>
    <w:link w:val="26"/>
    <w:qFormat/>
    <w:uiPriority w:val="0"/>
    <w:pPr>
      <w:widowControl/>
      <w:spacing w:after="160" w:line="240" w:lineRule="exact"/>
      <w:jc w:val="left"/>
      <w:textAlignment w:val="baseline"/>
    </w:pPr>
    <w:rPr>
      <w:rFonts w:eastAsia="宋体"/>
      <w:kern w:val="2"/>
      <w:sz w:val="21"/>
      <w:szCs w:val="24"/>
      <w:lang w:val="en-US" w:eastAsia="zh-CN"/>
    </w:rPr>
  </w:style>
  <w:style w:type="paragraph" w:customStyle="1" w:styleId="28">
    <w:name w:val="Body text|1"/>
    <w:basedOn w:val="1"/>
    <w:qFormat/>
    <w:uiPriority w:val="0"/>
    <w:pPr>
      <w:widowControl w:val="0"/>
      <w:shd w:val="clear" w:color="auto" w:fill="auto"/>
      <w:spacing w:line="377" w:lineRule="auto"/>
      <w:ind w:firstLine="400"/>
    </w:pPr>
    <w:rPr>
      <w:rFonts w:ascii="宋体" w:hAnsi="宋体" w:eastAsia="宋体" w:cs="宋体"/>
      <w:sz w:val="28"/>
      <w:szCs w:val="28"/>
      <w:u w:val="none"/>
      <w:shd w:val="clear" w:color="auto" w:fill="auto"/>
      <w:lang w:val="zh-TW" w:eastAsia="zh-TW" w:bidi="zh-TW"/>
    </w:rPr>
  </w:style>
  <w:style w:type="paragraph" w:customStyle="1" w:styleId="29">
    <w:name w:val="GB正文"/>
    <w:basedOn w:val="1"/>
    <w:qFormat/>
    <w:uiPriority w:val="0"/>
    <w:pPr>
      <w:spacing w:line="590" w:lineRule="exact"/>
      <w:ind w:firstLine="707" w:firstLineChars="221"/>
    </w:pPr>
    <w:rPr>
      <w:rFonts w:ascii="仿宋_GB2312" w:hAnsi="Times New Roman" w:eastAsia="仿宋_GB2312"/>
      <w:color w:val="000000"/>
      <w:spacing w:val="6"/>
      <w:sz w:val="32"/>
      <w:szCs w:val="32"/>
    </w:rPr>
  </w:style>
  <w:style w:type="paragraph" w:customStyle="1" w:styleId="30">
    <w:name w:val="黑体1"/>
    <w:basedOn w:val="1"/>
    <w:qFormat/>
    <w:uiPriority w:val="0"/>
    <w:pPr>
      <w:widowControl/>
      <w:overflowPunct w:val="0"/>
      <w:autoSpaceDE w:val="0"/>
      <w:autoSpaceDN w:val="0"/>
      <w:adjustRightInd w:val="0"/>
      <w:spacing w:line="560" w:lineRule="exact"/>
      <w:ind w:firstLine="803" w:firstLineChars="250"/>
      <w:textAlignment w:val="baseline"/>
    </w:pPr>
    <w:rPr>
      <w:rFonts w:ascii="黑体" w:hAnsi="黑体" w:eastAsia="黑体"/>
      <w:b/>
      <w:kern w:val="0"/>
      <w:sz w:val="32"/>
      <w:szCs w:val="28"/>
    </w:rPr>
  </w:style>
  <w:style w:type="paragraph" w:customStyle="1" w:styleId="31">
    <w:name w:val="闻政正文"/>
    <w:basedOn w:val="1"/>
    <w:qFormat/>
    <w:uiPriority w:val="0"/>
    <w:pPr>
      <w:spacing w:line="500" w:lineRule="exact"/>
      <w:ind w:firstLine="883" w:firstLineChars="200"/>
    </w:pPr>
    <w:rPr>
      <w:rFonts w:ascii="Times New Roman" w:hAnsi="Times New Roman" w:eastAsia="仿宋_GB2312"/>
      <w:kern w:val="0"/>
      <w:sz w:val="28"/>
      <w:szCs w:val="28"/>
    </w:rPr>
  </w:style>
  <w:style w:type="paragraph" w:customStyle="1" w:styleId="32">
    <w:name w:val="列出段落1"/>
    <w:basedOn w:val="1"/>
    <w:qFormat/>
    <w:uiPriority w:val="0"/>
    <w:pPr>
      <w:ind w:firstLine="420" w:firstLineChars="200"/>
    </w:pPr>
  </w:style>
  <w:style w:type="character" w:customStyle="1" w:styleId="33">
    <w:name w:val="font41"/>
    <w:basedOn w:val="22"/>
    <w:qFormat/>
    <w:uiPriority w:val="0"/>
    <w:rPr>
      <w:rFonts w:hint="default" w:ascii="Times New Roman" w:hAnsi="Times New Roman" w:cs="Times New Roman"/>
      <w:color w:val="000000"/>
      <w:sz w:val="22"/>
      <w:szCs w:val="22"/>
      <w:u w:val="none"/>
    </w:rPr>
  </w:style>
  <w:style w:type="character" w:customStyle="1" w:styleId="34">
    <w:name w:val="font31"/>
    <w:basedOn w:val="22"/>
    <w:qFormat/>
    <w:uiPriority w:val="0"/>
    <w:rPr>
      <w:rFonts w:hint="eastAsia" w:ascii="仿宋" w:hAnsi="仿宋" w:eastAsia="仿宋" w:cs="仿宋"/>
      <w:color w:val="000000"/>
      <w:sz w:val="22"/>
      <w:szCs w:val="22"/>
      <w:u w:val="none"/>
    </w:rPr>
  </w:style>
  <w:style w:type="paragraph" w:customStyle="1" w:styleId="35">
    <w:name w:val="闻政-正文段落文字"/>
    <w:basedOn w:val="1"/>
    <w:qFormat/>
    <w:uiPriority w:val="3"/>
    <w:pPr>
      <w:spacing w:line="500" w:lineRule="exact"/>
      <w:ind w:firstLine="200"/>
    </w:pPr>
    <w:rPr>
      <w:rFonts w:ascii="Times New Roman" w:hAnsi="Times New Roman" w:cs="Times New Roman"/>
      <w:kern w:val="0"/>
      <w:szCs w:val="28"/>
    </w:rPr>
  </w:style>
  <w:style w:type="character" w:customStyle="1" w:styleId="36">
    <w:name w:val="font51"/>
    <w:basedOn w:val="22"/>
    <w:qFormat/>
    <w:uiPriority w:val="0"/>
    <w:rPr>
      <w:rFonts w:hint="eastAsia" w:ascii="宋体" w:hAnsi="宋体" w:eastAsia="宋体" w:cs="宋体"/>
      <w:color w:val="000000"/>
      <w:sz w:val="24"/>
      <w:szCs w:val="24"/>
      <w:u w:val="none"/>
    </w:rPr>
  </w:style>
  <w:style w:type="paragraph" w:customStyle="1" w:styleId="37">
    <w:name w:val="闻政-正文二级标题"/>
    <w:basedOn w:val="4"/>
    <w:next w:val="35"/>
    <w:qFormat/>
    <w:uiPriority w:val="3"/>
    <w:pPr>
      <w:spacing w:before="120" w:after="60" w:line="500" w:lineRule="exact"/>
      <w:ind w:left="200" w:leftChars="200" w:firstLine="0" w:firstLineChars="0"/>
    </w:pPr>
    <w:rPr>
      <w:rFonts w:ascii="Times New Roman" w:hAnsi="Times New Roman"/>
      <w:sz w:val="28"/>
    </w:rPr>
  </w:style>
  <w:style w:type="paragraph" w:customStyle="1" w:styleId="38">
    <w:name w:val="Default"/>
    <w:qFormat/>
    <w:uiPriority w:val="0"/>
    <w:pPr>
      <w:widowControl w:val="0"/>
      <w:autoSpaceDE w:val="0"/>
      <w:autoSpaceDN w:val="0"/>
      <w:adjustRightInd w:val="0"/>
    </w:pPr>
    <w:rPr>
      <w:rFonts w:ascii="HYb2gj" w:hAnsi="Calibri" w:eastAsia="HYb2gj" w:cs="HYb2gj"/>
      <w:color w:val="000000"/>
      <w:sz w:val="24"/>
      <w:szCs w:val="24"/>
      <w:lang w:val="en-US" w:eastAsia="zh-CN" w:bidi="ar-SA"/>
    </w:rPr>
  </w:style>
  <w:style w:type="paragraph" w:customStyle="1" w:styleId="39">
    <w:name w:val="Char"/>
    <w:basedOn w:val="1"/>
    <w:qFormat/>
    <w:uiPriority w:val="0"/>
    <w:pPr>
      <w:widowControl/>
      <w:spacing w:after="160" w:line="240" w:lineRule="exact"/>
      <w:jc w:val="left"/>
    </w:pPr>
    <w:rPr>
      <w:rFonts w:ascii="Times New Roman" w:hAnsi="Times New Roman" w:eastAsia="宋体" w:cs="Times New Roman"/>
      <w:szCs w:val="22"/>
    </w:rPr>
  </w:style>
  <w:style w:type="paragraph" w:customStyle="1" w:styleId="40">
    <w:name w:val="WPSOffice手动目录 1"/>
    <w:qFormat/>
    <w:uiPriority w:val="0"/>
    <w:pPr>
      <w:ind w:leftChars="0"/>
    </w:pPr>
    <w:rPr>
      <w:rFonts w:ascii="Times New Roman" w:hAnsi="Times New Roman" w:eastAsia="宋体" w:cs="Times New Roman"/>
      <w:sz w:val="20"/>
      <w:szCs w:val="20"/>
    </w:rPr>
  </w:style>
  <w:style w:type="paragraph" w:customStyle="1" w:styleId="41">
    <w:name w:val="WPSOffice手动目录 2"/>
    <w:qFormat/>
    <w:uiPriority w:val="0"/>
    <w:pPr>
      <w:ind w:leftChars="200"/>
    </w:pPr>
    <w:rPr>
      <w:rFonts w:ascii="Times New Roman" w:hAnsi="Times New Roman" w:eastAsia="宋体" w:cs="Times New Roman"/>
      <w:sz w:val="20"/>
      <w:szCs w:val="20"/>
    </w:rPr>
  </w:style>
  <w:style w:type="paragraph" w:customStyle="1" w:styleId="42">
    <w:name w:val="列表段落1"/>
    <w:basedOn w:val="1"/>
    <w:qFormat/>
    <w:uiPriority w:val="34"/>
    <w:pPr>
      <w:ind w:firstLine="420" w:firstLineChars="200"/>
    </w:pPr>
  </w:style>
  <w:style w:type="paragraph" w:styleId="43">
    <w:name w:val="List Paragraph"/>
    <w:basedOn w:val="1"/>
    <w:qFormat/>
    <w:uiPriority w:val="34"/>
    <w:pPr>
      <w:ind w:firstLine="420"/>
    </w:pPr>
  </w:style>
  <w:style w:type="character" w:customStyle="1" w:styleId="44">
    <w:name w:val="font01"/>
    <w:basedOn w:val="22"/>
    <w:qFormat/>
    <w:uiPriority w:val="0"/>
    <w:rPr>
      <w:rFonts w:hint="eastAsia"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1" Type="http://schemas.openxmlformats.org/officeDocument/2006/relationships/glossaryDocument" Target="glossary/document.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c0da75a-a779-476d-a8ce-8772ab8f50e5}"/>
        <w:style w:val=""/>
        <w:category>
          <w:name w:val="常规"/>
          <w:gallery w:val="placeholder"/>
        </w:category>
        <w:types>
          <w:type w:val="bbPlcHdr"/>
        </w:types>
        <w:behaviors>
          <w:behavior w:val="content"/>
        </w:behaviors>
        <w:description w:val=""/>
        <w:guid w:val="{5c0da75a-a779-476d-a8ce-8772ab8f50e5}"/>
      </w:docPartPr>
      <w:docPartBody>
        <w:p>
          <w:r>
            <w:rPr>
              <w:color w:val="808080"/>
            </w:rPr>
            <w:t>单击此处输入文字。</w:t>
          </w:r>
        </w:p>
      </w:docPartBody>
    </w:docPart>
    <w:docPart>
      <w:docPartPr>
        <w:name w:val="{5652ec9e-c5ac-49fc-b60d-ab16b2558489}"/>
        <w:style w:val=""/>
        <w:category>
          <w:name w:val="常规"/>
          <w:gallery w:val="placeholder"/>
        </w:category>
        <w:types>
          <w:type w:val="bbPlcHdr"/>
        </w:types>
        <w:behaviors>
          <w:behavior w:val="content"/>
        </w:behaviors>
        <w:description w:val=""/>
        <w:guid w:val="{5652ec9e-c5ac-49fc-b60d-ab16b2558489}"/>
      </w:docPartPr>
      <w:docPartBody>
        <w:p>
          <w:r>
            <w:rPr>
              <w:color w:val="808080"/>
            </w:rPr>
            <w:t>单击此处输入文字。</w:t>
          </w:r>
        </w:p>
      </w:docPartBody>
    </w:docPart>
    <w:docPart>
      <w:docPartPr>
        <w:name w:val="{c9a51dad-fd8f-4b49-ba1b-932ec842d13d}"/>
        <w:style w:val=""/>
        <w:category>
          <w:name w:val="常规"/>
          <w:gallery w:val="placeholder"/>
        </w:category>
        <w:types>
          <w:type w:val="bbPlcHdr"/>
        </w:types>
        <w:behaviors>
          <w:behavior w:val="content"/>
        </w:behaviors>
        <w:description w:val=""/>
        <w:guid w:val="{c9a51dad-fd8f-4b49-ba1b-932ec842d13d}"/>
      </w:docPartPr>
      <w:docPartBody>
        <w:p>
          <w:r>
            <w:rPr>
              <w:color w:val="808080"/>
            </w:rPr>
            <w:t>单击此处输入文字。</w:t>
          </w:r>
        </w:p>
      </w:docPartBody>
    </w:docPart>
    <w:docPart>
      <w:docPartPr>
        <w:name w:val="{9b79fcad-5797-47ab-8706-90e797e65f76}"/>
        <w:style w:val=""/>
        <w:category>
          <w:name w:val="常规"/>
          <w:gallery w:val="placeholder"/>
        </w:category>
        <w:types>
          <w:type w:val="bbPlcHdr"/>
        </w:types>
        <w:behaviors>
          <w:behavior w:val="content"/>
        </w:behaviors>
        <w:description w:val=""/>
        <w:guid w:val="{9b79fcad-5797-47ab-8706-90e797e65f76}"/>
      </w:docPartPr>
      <w:docPartBody>
        <w:p>
          <w:r>
            <w:rPr>
              <w:color w:val="808080"/>
            </w:rPr>
            <w:t>单击此处输入文字。</w:t>
          </w:r>
        </w:p>
      </w:docPartBody>
    </w:docPart>
    <w:docPart>
      <w:docPartPr>
        <w:name w:val="{6f2859af-d1bd-4bc2-8147-0f92b7851593}"/>
        <w:style w:val=""/>
        <w:category>
          <w:name w:val="常规"/>
          <w:gallery w:val="placeholder"/>
        </w:category>
        <w:types>
          <w:type w:val="bbPlcHdr"/>
        </w:types>
        <w:behaviors>
          <w:behavior w:val="content"/>
        </w:behaviors>
        <w:description w:val=""/>
        <w:guid w:val="{6f2859af-d1bd-4bc2-8147-0f92b7851593}"/>
      </w:docPartPr>
      <w:docPartBody>
        <w:p>
          <w:r>
            <w:rPr>
              <w:color w:val="808080"/>
            </w:rPr>
            <w:t>单击此处输入文字。</w:t>
          </w:r>
        </w:p>
      </w:docPartBody>
    </w:docPart>
    <w:docPart>
      <w:docPartPr>
        <w:name w:val="{0cc0cb25-83a6-424f-aa94-c65af7015128}"/>
        <w:style w:val=""/>
        <w:category>
          <w:name w:val="常规"/>
          <w:gallery w:val="placeholder"/>
        </w:category>
        <w:types>
          <w:type w:val="bbPlcHdr"/>
        </w:types>
        <w:behaviors>
          <w:behavior w:val="content"/>
        </w:behaviors>
        <w:description w:val=""/>
        <w:guid w:val="{0cc0cb25-83a6-424f-aa94-c65af7015128}"/>
      </w:docPartPr>
      <w:docPartBody>
        <w:p>
          <w:r>
            <w:rPr>
              <w:color w:val="808080"/>
            </w:rPr>
            <w:t>单击此处输入文字。</w:t>
          </w:r>
        </w:p>
      </w:docPartBody>
    </w:docPart>
    <w:docPart>
      <w:docPartPr>
        <w:name w:val="{bf9d2990-e239-4630-8cfc-715e8b6e369a}"/>
        <w:style w:val=""/>
        <w:category>
          <w:name w:val="常规"/>
          <w:gallery w:val="placeholder"/>
        </w:category>
        <w:types>
          <w:type w:val="bbPlcHdr"/>
        </w:types>
        <w:behaviors>
          <w:behavior w:val="content"/>
        </w:behaviors>
        <w:description w:val=""/>
        <w:guid w:val="{bf9d2990-e239-4630-8cfc-715e8b6e369a}"/>
      </w:docPartPr>
      <w:docPartBody>
        <w:p>
          <w:r>
            <w:rPr>
              <w:color w:val="808080"/>
            </w:rPr>
            <w:t>单击此处输入文字。</w:t>
          </w:r>
        </w:p>
      </w:docPartBody>
    </w:docPart>
    <w:docPart>
      <w:docPartPr>
        <w:name w:val="{ee19ad35-6f6d-4442-acad-fe592b7c64cd}"/>
        <w:style w:val=""/>
        <w:category>
          <w:name w:val="常规"/>
          <w:gallery w:val="placeholder"/>
        </w:category>
        <w:types>
          <w:type w:val="bbPlcHdr"/>
        </w:types>
        <w:behaviors>
          <w:behavior w:val="content"/>
        </w:behaviors>
        <w:description w:val=""/>
        <w:guid w:val="{ee19ad35-6f6d-4442-acad-fe592b7c64cd}"/>
      </w:docPartPr>
      <w:docPartBody>
        <w:p>
          <w:r>
            <w:rPr>
              <w:color w:val="808080"/>
            </w:rPr>
            <w:t>单击此处输入文字。</w:t>
          </w:r>
        </w:p>
      </w:docPartBody>
    </w:docPart>
    <w:docPart>
      <w:docPartPr>
        <w:name w:val="{5b2f1202-c83b-440d-8e4b-5a12786a0013}"/>
        <w:style w:val=""/>
        <w:category>
          <w:name w:val="常规"/>
          <w:gallery w:val="placeholder"/>
        </w:category>
        <w:types>
          <w:type w:val="bbPlcHdr"/>
        </w:types>
        <w:behaviors>
          <w:behavior w:val="content"/>
        </w:behaviors>
        <w:description w:val=""/>
        <w:guid w:val="{5b2f1202-c83b-440d-8e4b-5a12786a0013}"/>
      </w:docPartPr>
      <w:docPartBody>
        <w:p>
          <w:r>
            <w:rPr>
              <w:color w:val="808080"/>
            </w:rPr>
            <w:t>单击此处输入文字。</w:t>
          </w:r>
        </w:p>
      </w:docPartBody>
    </w:docPart>
    <w:docPart>
      <w:docPartPr>
        <w:name w:val="{14adffbb-412e-4d6d-8065-58f46c0b4a9e}"/>
        <w:style w:val=""/>
        <w:category>
          <w:name w:val="常规"/>
          <w:gallery w:val="placeholder"/>
        </w:category>
        <w:types>
          <w:type w:val="bbPlcHdr"/>
        </w:types>
        <w:behaviors>
          <w:behavior w:val="content"/>
        </w:behaviors>
        <w:description w:val=""/>
        <w:guid w:val="{14adffbb-412e-4d6d-8065-58f46c0b4a9e}"/>
      </w:docPartPr>
      <w:docPartBody>
        <w:p>
          <w:r>
            <w:rPr>
              <w:color w:val="808080"/>
            </w:rPr>
            <w:t>单击此处输入文字。</w:t>
          </w:r>
        </w:p>
      </w:docPartBody>
    </w:docPart>
    <w:docPart>
      <w:docPartPr>
        <w:name w:val="{97dc2e40-0b16-4c96-b3ed-b6cb8962d84b}"/>
        <w:style w:val=""/>
        <w:category>
          <w:name w:val="常规"/>
          <w:gallery w:val="placeholder"/>
        </w:category>
        <w:types>
          <w:type w:val="bbPlcHdr"/>
        </w:types>
        <w:behaviors>
          <w:behavior w:val="content"/>
        </w:behaviors>
        <w:description w:val=""/>
        <w:guid w:val="{97dc2e40-0b16-4c96-b3ed-b6cb8962d84b}"/>
      </w:docPartPr>
      <w:docPartBody>
        <w:p>
          <w:r>
            <w:rPr>
              <w:color w:val="808080"/>
            </w:rPr>
            <w:t>单击此处输入文字。</w:t>
          </w:r>
        </w:p>
      </w:docPartBody>
    </w:docPart>
    <w:docPart>
      <w:docPartPr>
        <w:name w:val="{0bb64f43-646a-4d66-b9b3-9a66ec2f22fd}"/>
        <w:style w:val=""/>
        <w:category>
          <w:name w:val="常规"/>
          <w:gallery w:val="placeholder"/>
        </w:category>
        <w:types>
          <w:type w:val="bbPlcHdr"/>
        </w:types>
        <w:behaviors>
          <w:behavior w:val="content"/>
        </w:behaviors>
        <w:description w:val=""/>
        <w:guid w:val="{0bb64f43-646a-4d66-b9b3-9a66ec2f22fd}"/>
      </w:docPartPr>
      <w:docPartBody>
        <w:p>
          <w:r>
            <w:rPr>
              <w:color w:val="808080"/>
            </w:rPr>
            <w:t>单击此处输入文字。</w:t>
          </w:r>
        </w:p>
      </w:docPartBody>
    </w:docPart>
    <w:docPart>
      <w:docPartPr>
        <w:name w:val="{5d1e8fa6-1add-451a-aef7-ecd574e67d5b}"/>
        <w:style w:val=""/>
        <w:category>
          <w:name w:val="常规"/>
          <w:gallery w:val="placeholder"/>
        </w:category>
        <w:types>
          <w:type w:val="bbPlcHdr"/>
        </w:types>
        <w:behaviors>
          <w:behavior w:val="content"/>
        </w:behaviors>
        <w:description w:val=""/>
        <w:guid w:val="{5d1e8fa6-1add-451a-aef7-ecd574e67d5b}"/>
      </w:docPartPr>
      <w:docPartBody>
        <w:p>
          <w:r>
            <w:rPr>
              <w:color w:val="808080"/>
            </w:rPr>
            <w:t>单击此处输入文字。</w:t>
          </w:r>
        </w:p>
      </w:docPartBody>
    </w:docPart>
    <w:docPart>
      <w:docPartPr>
        <w:name w:val="{54400d7c-4a59-4893-b5e4-7f3d733b25c5}"/>
        <w:style w:val=""/>
        <w:category>
          <w:name w:val="常规"/>
          <w:gallery w:val="placeholder"/>
        </w:category>
        <w:types>
          <w:type w:val="bbPlcHdr"/>
        </w:types>
        <w:behaviors>
          <w:behavior w:val="content"/>
        </w:behaviors>
        <w:description w:val=""/>
        <w:guid w:val="{54400d7c-4a59-4893-b5e4-7f3d733b25c5}"/>
      </w:docPartPr>
      <w:docPartBody>
        <w:p>
          <w:r>
            <w:rPr>
              <w:color w:val="808080"/>
            </w:rPr>
            <w:t>单击此处输入文字。</w:t>
          </w:r>
        </w:p>
      </w:docPartBody>
    </w:docPart>
    <w:docPart>
      <w:docPartPr>
        <w:name w:val="{7b7e5eb8-62ae-44c5-8570-f4e8afd939ef}"/>
        <w:style w:val=""/>
        <w:category>
          <w:name w:val="常规"/>
          <w:gallery w:val="placeholder"/>
        </w:category>
        <w:types>
          <w:type w:val="bbPlcHdr"/>
        </w:types>
        <w:behaviors>
          <w:behavior w:val="content"/>
        </w:behaviors>
        <w:description w:val=""/>
        <w:guid w:val="{7b7e5eb8-62ae-44c5-8570-f4e8afd939ef}"/>
      </w:docPartPr>
      <w:docPartBody>
        <w:p>
          <w:r>
            <w:rPr>
              <w:color w:val="808080"/>
            </w:rPr>
            <w:t>单击此处输入文字。</w:t>
          </w:r>
        </w:p>
      </w:docPartBody>
    </w:docPart>
    <w:docPart>
      <w:docPartPr>
        <w:name w:val="{115607cf-4721-4b0e-977b-d289f7495bcf}"/>
        <w:style w:val=""/>
        <w:category>
          <w:name w:val="常规"/>
          <w:gallery w:val="placeholder"/>
        </w:category>
        <w:types>
          <w:type w:val="bbPlcHdr"/>
        </w:types>
        <w:behaviors>
          <w:behavior w:val="content"/>
        </w:behaviors>
        <w:description w:val=""/>
        <w:guid w:val="{115607cf-4721-4b0e-977b-d289f7495bcf}"/>
      </w:docPartPr>
      <w:docPartBody>
        <w:p>
          <w:r>
            <w:rPr>
              <w:color w:val="808080"/>
            </w:rPr>
            <w:t>单击此处输入文字。</w:t>
          </w:r>
        </w:p>
      </w:docPartBody>
    </w:docPart>
    <w:docPart>
      <w:docPartPr>
        <w:name w:val="{2346d703-8231-4980-8dd0-cee701a84bc7}"/>
        <w:style w:val=""/>
        <w:category>
          <w:name w:val="常规"/>
          <w:gallery w:val="placeholder"/>
        </w:category>
        <w:types>
          <w:type w:val="bbPlcHdr"/>
        </w:types>
        <w:behaviors>
          <w:behavior w:val="content"/>
        </w:behaviors>
        <w:description w:val=""/>
        <w:guid w:val="{2346d703-8231-4980-8dd0-cee701a84bc7}"/>
      </w:docPartPr>
      <w:docPartBody>
        <w:p>
          <w:r>
            <w:rPr>
              <w:color w:val="808080"/>
            </w:rPr>
            <w:t>单击此处输入文字。</w:t>
          </w:r>
        </w:p>
      </w:docPartBody>
    </w:docPart>
    <w:docPart>
      <w:docPartPr>
        <w:name w:val="{592e7747-7fb3-43cc-9a97-d123e0a160e4}"/>
        <w:style w:val=""/>
        <w:category>
          <w:name w:val="常规"/>
          <w:gallery w:val="placeholder"/>
        </w:category>
        <w:types>
          <w:type w:val="bbPlcHdr"/>
        </w:types>
        <w:behaviors>
          <w:behavior w:val="content"/>
        </w:behaviors>
        <w:description w:val=""/>
        <w:guid w:val="{592e7747-7fb3-43cc-9a97-d123e0a160e4}"/>
      </w:docPartPr>
      <w:docPartBody>
        <w:p>
          <w:r>
            <w:rPr>
              <w:color w:val="808080"/>
            </w:rPr>
            <w:t>单击此处输入文字。</w:t>
          </w:r>
        </w:p>
      </w:docPartBody>
    </w:docPart>
    <w:docPart>
      <w:docPartPr>
        <w:name w:val="{029c776d-4753-4f2c-8c74-c6d4725d9917}"/>
        <w:style w:val=""/>
        <w:category>
          <w:name w:val="常规"/>
          <w:gallery w:val="placeholder"/>
        </w:category>
        <w:types>
          <w:type w:val="bbPlcHdr"/>
        </w:types>
        <w:behaviors>
          <w:behavior w:val="content"/>
        </w:behaviors>
        <w:description w:val=""/>
        <w:guid w:val="{029c776d-4753-4f2c-8c74-c6d4725d9917}"/>
      </w:docPartPr>
      <w:docPartBody>
        <w:p>
          <w:r>
            <w:rPr>
              <w:color w:val="808080"/>
            </w:rPr>
            <w:t>单击此处输入文字。</w:t>
          </w:r>
        </w:p>
      </w:docPartBody>
    </w:docPart>
    <w:docPart>
      <w:docPartPr>
        <w:name w:val="{b80fbd35-cf02-4e76-8480-0ebc34eb9ec8}"/>
        <w:style w:val=""/>
        <w:category>
          <w:name w:val="常规"/>
          <w:gallery w:val="placeholder"/>
        </w:category>
        <w:types>
          <w:type w:val="bbPlcHdr"/>
        </w:types>
        <w:behaviors>
          <w:behavior w:val="content"/>
        </w:behaviors>
        <w:description w:val=""/>
        <w:guid w:val="{b80fbd35-cf02-4e76-8480-0ebc34eb9ec8}"/>
      </w:docPartPr>
      <w:docPartBody>
        <w:p>
          <w:r>
            <w:rPr>
              <w:color w:val="808080"/>
            </w:rPr>
            <w:t>单击此处输入文字。</w:t>
          </w:r>
        </w:p>
      </w:docPartBody>
    </w:docPart>
    <w:docPart>
      <w:docPartPr>
        <w:name w:val="{a8b7dc4e-f425-48fd-b3aa-8f19b1bf87dd}"/>
        <w:style w:val=""/>
        <w:category>
          <w:name w:val="常规"/>
          <w:gallery w:val="placeholder"/>
        </w:category>
        <w:types>
          <w:type w:val="bbPlcHdr"/>
        </w:types>
        <w:behaviors>
          <w:behavior w:val="content"/>
        </w:behaviors>
        <w:description w:val=""/>
        <w:guid w:val="{a8b7dc4e-f425-48fd-b3aa-8f19b1bf87dd}"/>
      </w:docPartPr>
      <w:docPartBody>
        <w:p>
          <w:r>
            <w:rPr>
              <w:color w:val="808080"/>
            </w:rPr>
            <w:t>单击此处输入文字。</w:t>
          </w:r>
        </w:p>
      </w:docPartBody>
    </w:docPart>
    <w:docPart>
      <w:docPartPr>
        <w:name w:val="{f9a3ebb8-0fd3-4637-b740-1d39fbead578}"/>
        <w:style w:val=""/>
        <w:category>
          <w:name w:val="常规"/>
          <w:gallery w:val="placeholder"/>
        </w:category>
        <w:types>
          <w:type w:val="bbPlcHdr"/>
        </w:types>
        <w:behaviors>
          <w:behavior w:val="content"/>
        </w:behaviors>
        <w:description w:val=""/>
        <w:guid w:val="{f9a3ebb8-0fd3-4637-b740-1d39fbead578}"/>
      </w:docPartPr>
      <w:docPartBody>
        <w:p>
          <w:r>
            <w:rPr>
              <w:color w:val="808080"/>
            </w:rPr>
            <w:t>单击此处输入文字。</w:t>
          </w:r>
        </w:p>
      </w:docPartBody>
    </w:docPart>
    <w:docPart>
      <w:docPartPr>
        <w:name w:val="{72278555-4a25-4371-b4b1-990e7be997e6}"/>
        <w:style w:val=""/>
        <w:category>
          <w:name w:val="常规"/>
          <w:gallery w:val="placeholder"/>
        </w:category>
        <w:types>
          <w:type w:val="bbPlcHdr"/>
        </w:types>
        <w:behaviors>
          <w:behavior w:val="content"/>
        </w:behaviors>
        <w:description w:val=""/>
        <w:guid w:val="{72278555-4a25-4371-b4b1-990e7be997e6}"/>
      </w:docPartPr>
      <w:docPartBody>
        <w:p>
          <w:r>
            <w:rPr>
              <w:color w:val="808080"/>
            </w:rPr>
            <w:t>单击此处输入文字。</w:t>
          </w:r>
        </w:p>
      </w:docPartBody>
    </w:docPart>
    <w:docPart>
      <w:docPartPr>
        <w:name w:val="{69977552-7104-465a-982b-9ec457d31e47}"/>
        <w:style w:val=""/>
        <w:category>
          <w:name w:val="常规"/>
          <w:gallery w:val="placeholder"/>
        </w:category>
        <w:types>
          <w:type w:val="bbPlcHdr"/>
        </w:types>
        <w:behaviors>
          <w:behavior w:val="content"/>
        </w:behaviors>
        <w:description w:val=""/>
        <w:guid w:val="{69977552-7104-465a-982b-9ec457d31e47}"/>
      </w:docPartPr>
      <w:docPartBody>
        <w:p>
          <w:r>
            <w:rPr>
              <w:color w:val="808080"/>
            </w:rPr>
            <w:t>单击此处输入文字。</w:t>
          </w:r>
        </w:p>
      </w:docPartBody>
    </w:docPart>
    <w:docPart>
      <w:docPartPr>
        <w:name w:val="{694a29e0-d2ce-4297-a011-9fc5bea49722}"/>
        <w:style w:val=""/>
        <w:category>
          <w:name w:val="常规"/>
          <w:gallery w:val="placeholder"/>
        </w:category>
        <w:types>
          <w:type w:val="bbPlcHdr"/>
        </w:types>
        <w:behaviors>
          <w:behavior w:val="content"/>
        </w:behaviors>
        <w:description w:val=""/>
        <w:guid w:val="{694a29e0-d2ce-4297-a011-9fc5bea49722}"/>
      </w:docPartPr>
      <w:docPartBody>
        <w:p>
          <w:r>
            <w:rPr>
              <w:color w:val="808080"/>
            </w:rPr>
            <w:t>单击此处输入文字。</w:t>
          </w:r>
        </w:p>
      </w:docPartBody>
    </w:docPart>
    <w:docPart>
      <w:docPartPr>
        <w:name w:val="{b74fd484-e3c9-4754-a4f3-0b8004379b6f}"/>
        <w:style w:val=""/>
        <w:category>
          <w:name w:val="常规"/>
          <w:gallery w:val="placeholder"/>
        </w:category>
        <w:types>
          <w:type w:val="bbPlcHdr"/>
        </w:types>
        <w:behaviors>
          <w:behavior w:val="content"/>
        </w:behaviors>
        <w:description w:val=""/>
        <w:guid w:val="{b74fd484-e3c9-4754-a4f3-0b8004379b6f}"/>
      </w:docPartPr>
      <w:docPartBody>
        <w:p>
          <w:r>
            <w:rPr>
              <w:color w:val="808080"/>
            </w:rPr>
            <w:t>单击此处输入文字。</w:t>
          </w:r>
        </w:p>
      </w:docPartBody>
    </w:docPart>
    <w:docPart>
      <w:docPartPr>
        <w:name w:val="{6c762416-5595-425c-ab30-ed9b95ecc6a8}"/>
        <w:style w:val=""/>
        <w:category>
          <w:name w:val="常规"/>
          <w:gallery w:val="placeholder"/>
        </w:category>
        <w:types>
          <w:type w:val="bbPlcHdr"/>
        </w:types>
        <w:behaviors>
          <w:behavior w:val="content"/>
        </w:behaviors>
        <w:description w:val=""/>
        <w:guid w:val="{6c762416-5595-425c-ab30-ed9b95ecc6a8}"/>
      </w:docPartPr>
      <w:docPartBody>
        <w:p>
          <w:r>
            <w:rPr>
              <w:color w:val="808080"/>
            </w:rPr>
            <w:t>单击此处输入文字。</w:t>
          </w:r>
        </w:p>
      </w:docPartBody>
    </w:docPart>
    <w:docPart>
      <w:docPartPr>
        <w:name w:val="{bc199585-774c-4d06-810d-1a842be4500f}"/>
        <w:style w:val=""/>
        <w:category>
          <w:name w:val="常规"/>
          <w:gallery w:val="placeholder"/>
        </w:category>
        <w:types>
          <w:type w:val="bbPlcHdr"/>
        </w:types>
        <w:behaviors>
          <w:behavior w:val="content"/>
        </w:behaviors>
        <w:description w:val=""/>
        <w:guid w:val="{bc199585-774c-4d06-810d-1a842be4500f}"/>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17338</Words>
  <Characters>18830</Characters>
  <Lines>0</Lines>
  <Paragraphs>0</Paragraphs>
  <TotalTime>18</TotalTime>
  <ScaleCrop>false</ScaleCrop>
  <LinksUpToDate>false</LinksUpToDate>
  <CharactersWithSpaces>19198</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2023-03-08T03:59:00Z</dcterms:created>
  <dc:creator>Qin.</dc:creator>
  <cp:lastModifiedBy>Admin</cp:lastModifiedBy>
  <dcterms:modified xsi:type="dcterms:W3CDTF">2023-10-26T16:26:27Z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B59467DB1F1044D2A991BFA8111380F1</vt:lpwstr>
  </property>
</Properties>
</file>